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68" w:rsidRPr="00E031A7" w:rsidRDefault="0017720E" w:rsidP="00E031A7">
      <w:pPr>
        <w:spacing w:line="264" w:lineRule="auto"/>
        <w:jc w:val="right"/>
        <w:rPr>
          <w:rFonts w:cs="Times New Roman"/>
          <w:b/>
          <w:szCs w:val="28"/>
          <w:lang w:val="uk-UA"/>
        </w:rPr>
      </w:pPr>
      <w:r w:rsidRPr="00E031A7">
        <w:rPr>
          <w:rFonts w:cs="Times New Roman"/>
          <w:b/>
          <w:i/>
          <w:szCs w:val="28"/>
          <w:lang w:val="uk-UA"/>
        </w:rPr>
        <w:t>Фоміна О.О.</w:t>
      </w:r>
      <w:r w:rsidR="00F26168" w:rsidRPr="00E031A7">
        <w:rPr>
          <w:rFonts w:cs="Times New Roman"/>
          <w:b/>
          <w:szCs w:val="28"/>
          <w:lang w:val="uk-UA"/>
        </w:rPr>
        <w:t>,</w:t>
      </w:r>
    </w:p>
    <w:p w:rsidR="006E35B5" w:rsidRPr="00E031A7" w:rsidRDefault="006E35B5" w:rsidP="006E35B5">
      <w:pPr>
        <w:spacing w:line="264" w:lineRule="auto"/>
        <w:jc w:val="right"/>
        <w:rPr>
          <w:rFonts w:cs="Times New Roman"/>
          <w:i/>
          <w:szCs w:val="28"/>
          <w:lang w:val="uk-UA"/>
        </w:rPr>
      </w:pPr>
      <w:r>
        <w:rPr>
          <w:rFonts w:cs="Times New Roman"/>
          <w:i/>
          <w:szCs w:val="28"/>
          <w:lang w:val="uk-UA"/>
        </w:rPr>
        <w:t>к.е.н., доц.,</w:t>
      </w:r>
    </w:p>
    <w:p w:rsidR="0017720E" w:rsidRPr="00E031A7" w:rsidRDefault="0017720E" w:rsidP="00E031A7">
      <w:pPr>
        <w:spacing w:line="264" w:lineRule="auto"/>
        <w:jc w:val="right"/>
        <w:rPr>
          <w:rFonts w:cs="Times New Roman"/>
          <w:b/>
          <w:i/>
          <w:szCs w:val="28"/>
          <w:lang w:val="uk-UA"/>
        </w:rPr>
      </w:pPr>
      <w:bookmarkStart w:id="0" w:name="_GoBack"/>
      <w:bookmarkEnd w:id="0"/>
      <w:r w:rsidRPr="00E031A7">
        <w:rPr>
          <w:rFonts w:cs="Times New Roman"/>
          <w:b/>
          <w:i/>
          <w:szCs w:val="28"/>
          <w:lang w:val="uk-UA"/>
        </w:rPr>
        <w:t>Деревянко Б.В.</w:t>
      </w:r>
      <w:r w:rsidR="009D1C50" w:rsidRPr="00E031A7">
        <w:rPr>
          <w:rFonts w:cs="Times New Roman"/>
          <w:b/>
          <w:i/>
          <w:szCs w:val="28"/>
          <w:lang w:val="uk-UA"/>
        </w:rPr>
        <w:t>,</w:t>
      </w:r>
    </w:p>
    <w:p w:rsidR="009D1C50" w:rsidRPr="00E031A7" w:rsidRDefault="006E35B5" w:rsidP="006E35B5">
      <w:pPr>
        <w:spacing w:line="264" w:lineRule="auto"/>
        <w:jc w:val="right"/>
        <w:rPr>
          <w:rFonts w:cs="Times New Roman"/>
          <w:i/>
          <w:szCs w:val="28"/>
          <w:lang w:val="uk-UA"/>
        </w:rPr>
      </w:pPr>
      <w:r>
        <w:rPr>
          <w:rFonts w:cs="Times New Roman"/>
          <w:i/>
          <w:szCs w:val="28"/>
          <w:lang w:val="uk-UA"/>
        </w:rPr>
        <w:t>д.ю.н., проф.</w:t>
      </w:r>
    </w:p>
    <w:p w:rsidR="009D1C50" w:rsidRPr="00E031A7" w:rsidRDefault="009D1C50" w:rsidP="00E031A7">
      <w:pPr>
        <w:spacing w:line="264" w:lineRule="auto"/>
        <w:jc w:val="right"/>
        <w:rPr>
          <w:rFonts w:cs="Times New Roman"/>
          <w:szCs w:val="28"/>
          <w:lang w:val="uk-UA"/>
        </w:rPr>
      </w:pPr>
    </w:p>
    <w:p w:rsidR="00D55666" w:rsidRPr="00E031A7" w:rsidRDefault="00D55666" w:rsidP="00E031A7">
      <w:pPr>
        <w:spacing w:line="264" w:lineRule="auto"/>
        <w:jc w:val="center"/>
        <w:rPr>
          <w:rFonts w:cs="Times New Roman"/>
          <w:b/>
          <w:caps/>
          <w:szCs w:val="28"/>
          <w:lang w:val="uk-UA"/>
        </w:rPr>
      </w:pPr>
      <w:r w:rsidRPr="00E031A7">
        <w:rPr>
          <w:rFonts w:cs="Times New Roman"/>
          <w:b/>
          <w:caps/>
          <w:szCs w:val="28"/>
          <w:lang w:val="uk-UA"/>
        </w:rPr>
        <w:t>«Батьківське відчуження»:</w:t>
      </w:r>
    </w:p>
    <w:p w:rsidR="0017720E" w:rsidRPr="00E031A7" w:rsidRDefault="009D1C50" w:rsidP="00E031A7">
      <w:pPr>
        <w:spacing w:line="264" w:lineRule="auto"/>
        <w:jc w:val="center"/>
        <w:rPr>
          <w:rFonts w:cs="Times New Roman"/>
          <w:b/>
          <w:caps/>
          <w:szCs w:val="28"/>
          <w:lang w:val="uk-UA"/>
        </w:rPr>
      </w:pPr>
      <w:r w:rsidRPr="00E031A7">
        <w:rPr>
          <w:rFonts w:cs="Times New Roman"/>
          <w:b/>
          <w:caps/>
          <w:szCs w:val="28"/>
          <w:lang w:val="uk-UA"/>
        </w:rPr>
        <w:t>ЩОДО КРИМІНАЛІЗАЦІЇ ДІЯННЯ</w:t>
      </w:r>
    </w:p>
    <w:p w:rsidR="0017720E" w:rsidRPr="00E031A7" w:rsidRDefault="0017720E" w:rsidP="00E031A7">
      <w:pPr>
        <w:spacing w:line="264" w:lineRule="auto"/>
        <w:ind w:firstLine="567"/>
        <w:rPr>
          <w:rFonts w:cs="Times New Roman"/>
          <w:szCs w:val="28"/>
          <w:lang w:val="uk-UA"/>
        </w:rPr>
      </w:pPr>
    </w:p>
    <w:p w:rsidR="00D612D0" w:rsidRPr="00E031A7" w:rsidRDefault="001C670A" w:rsidP="00E031A7">
      <w:pPr>
        <w:spacing w:line="264" w:lineRule="auto"/>
        <w:ind w:firstLine="567"/>
        <w:rPr>
          <w:rFonts w:cs="Times New Roman"/>
          <w:szCs w:val="28"/>
          <w:lang w:val="uk-UA"/>
        </w:rPr>
      </w:pPr>
      <w:r w:rsidRPr="00E031A7">
        <w:rPr>
          <w:rFonts w:cs="Times New Roman"/>
          <w:szCs w:val="28"/>
          <w:lang w:val="uk-UA"/>
        </w:rPr>
        <w:t>Кожна людина і громадянин (підданий) має значну кількість прав. Уся сукупність прав та обов’язків формує правовий статус суб’єкта права, активного учасника суспільства та громадянського суспільства, побудову якого декларує більшість сучасних демократичних держав, зокрема. Отже, к</w:t>
      </w:r>
      <w:r w:rsidR="00D612D0" w:rsidRPr="00E031A7">
        <w:rPr>
          <w:rFonts w:cs="Times New Roman"/>
          <w:szCs w:val="28"/>
          <w:lang w:val="uk-UA"/>
        </w:rPr>
        <w:t>ожен член суспільства має права. Оскільки дитина є повноцінним членом суспільства, вона також має свої права, деякі особливості реалізації яких обумовлені виключно тим фактом, що її фізична та розумова незрілість потребує спеціальної охорони і піклування, включаю</w:t>
      </w:r>
      <w:r w:rsidRPr="00E031A7">
        <w:rPr>
          <w:rFonts w:cs="Times New Roman"/>
          <w:szCs w:val="28"/>
          <w:lang w:val="uk-UA"/>
        </w:rPr>
        <w:t>чи належний правовий захист. Залежно від віку дитини</w:t>
      </w:r>
      <w:r w:rsidR="00D612D0" w:rsidRPr="00E031A7">
        <w:rPr>
          <w:rFonts w:cs="Times New Roman"/>
          <w:szCs w:val="28"/>
          <w:lang w:val="uk-UA"/>
        </w:rPr>
        <w:t xml:space="preserve"> законодавством передбачено різний обсяг та механізми реалізації її прав. Повноцінний та дієвий захист прав дитини є обов’язком держави [1].</w:t>
      </w:r>
    </w:p>
    <w:p w:rsidR="00E01340" w:rsidRPr="00E031A7" w:rsidRDefault="001C670A" w:rsidP="00E031A7">
      <w:pPr>
        <w:spacing w:line="264" w:lineRule="auto"/>
        <w:ind w:firstLine="567"/>
        <w:rPr>
          <w:rFonts w:cs="Times New Roman"/>
          <w:szCs w:val="28"/>
          <w:lang w:val="uk-UA"/>
        </w:rPr>
      </w:pPr>
      <w:r w:rsidRPr="00E031A7">
        <w:rPr>
          <w:rFonts w:cs="Times New Roman"/>
          <w:szCs w:val="28"/>
          <w:lang w:val="uk-UA"/>
        </w:rPr>
        <w:t>Від народження людина (дитина) одразу отримує максимальний обсяг правоздатності</w:t>
      </w:r>
      <w:r w:rsidR="00DA05EB" w:rsidRPr="00E031A7">
        <w:rPr>
          <w:rFonts w:cs="Times New Roman"/>
          <w:szCs w:val="28"/>
          <w:lang w:val="uk-UA"/>
        </w:rPr>
        <w:t xml:space="preserve"> (слід зазначити, що останнім часом в окремих державах світу ведеться мова про наявність прав у ембріона, про що </w:t>
      </w:r>
      <w:r w:rsidR="00E01340" w:rsidRPr="00E031A7">
        <w:rPr>
          <w:rFonts w:cs="Times New Roman"/>
          <w:szCs w:val="28"/>
          <w:lang w:val="uk-UA"/>
        </w:rPr>
        <w:t>ведуться дискусії та робляться пропозиції до законодавства</w:t>
      </w:r>
      <w:r w:rsidR="00DA05EB" w:rsidRPr="00E031A7">
        <w:rPr>
          <w:rFonts w:cs="Times New Roman"/>
          <w:szCs w:val="28"/>
          <w:lang w:val="uk-UA"/>
        </w:rPr>
        <w:t>)</w:t>
      </w:r>
      <w:r w:rsidR="00E01340" w:rsidRPr="00E031A7">
        <w:rPr>
          <w:rFonts w:cs="Times New Roman"/>
          <w:szCs w:val="28"/>
          <w:lang w:val="uk-UA"/>
        </w:rPr>
        <w:t>. Тобто люди</w:t>
      </w:r>
      <w:r w:rsidRPr="00E031A7">
        <w:rPr>
          <w:rFonts w:cs="Times New Roman"/>
          <w:szCs w:val="28"/>
          <w:lang w:val="uk-UA"/>
        </w:rPr>
        <w:t xml:space="preserve">на </w:t>
      </w:r>
      <w:r w:rsidR="00E01340" w:rsidRPr="00E031A7">
        <w:rPr>
          <w:rFonts w:cs="Times New Roman"/>
          <w:szCs w:val="28"/>
          <w:lang w:val="uk-UA"/>
        </w:rPr>
        <w:t>з народженням отриму</w:t>
      </w:r>
      <w:r w:rsidRPr="00E031A7">
        <w:rPr>
          <w:rFonts w:cs="Times New Roman"/>
          <w:szCs w:val="28"/>
          <w:lang w:val="uk-UA"/>
        </w:rPr>
        <w:t>є право на усе, що не заборонено законом. Іншими словами, на ще зовсім молоду</w:t>
      </w:r>
      <w:r w:rsidR="00E01340" w:rsidRPr="00E031A7">
        <w:rPr>
          <w:rFonts w:cs="Times New Roman"/>
          <w:szCs w:val="28"/>
          <w:lang w:val="uk-UA"/>
        </w:rPr>
        <w:t xml:space="preserve"> людину</w:t>
      </w:r>
      <w:r w:rsidRPr="00E031A7">
        <w:rPr>
          <w:rFonts w:cs="Times New Roman"/>
          <w:szCs w:val="28"/>
          <w:lang w:val="uk-UA"/>
        </w:rPr>
        <w:t xml:space="preserve"> поширюється вплив загальнодозвільного принципу.</w:t>
      </w:r>
    </w:p>
    <w:p w:rsidR="001C670A" w:rsidRPr="00E031A7" w:rsidRDefault="001C670A" w:rsidP="00E031A7">
      <w:pPr>
        <w:spacing w:line="264" w:lineRule="auto"/>
        <w:ind w:firstLine="567"/>
        <w:rPr>
          <w:rFonts w:cs="Times New Roman"/>
          <w:szCs w:val="28"/>
          <w:lang w:val="uk-UA"/>
        </w:rPr>
      </w:pPr>
      <w:r w:rsidRPr="00E031A7">
        <w:rPr>
          <w:rFonts w:cs="Times New Roman"/>
          <w:szCs w:val="28"/>
          <w:lang w:val="uk-UA"/>
        </w:rPr>
        <w:t>З досягненням певного віку до правоздатності людини (дитини) додається певний обсяг дієздатності, тобто спроможності своїми діями або бездіяльністю набувати нових прав та обов’язків.</w:t>
      </w:r>
      <w:r w:rsidR="00E01340" w:rsidRPr="00E031A7">
        <w:rPr>
          <w:rFonts w:cs="Times New Roman"/>
          <w:szCs w:val="28"/>
          <w:lang w:val="uk-UA"/>
        </w:rPr>
        <w:t xml:space="preserve"> Обсяг дієздатності змінюється з віком. Чим людина (дитина) стає старшою, тим більший обсяг дієздатності вона отримує. Проте повний обсяг дієздатності за загальним правилом та за українським законодавством людина отримує із досягненням 18-тирічного віку. До цього за дії і бездіяльність дитини частину відповідальності беруть на себе батьки.</w:t>
      </w:r>
    </w:p>
    <w:p w:rsidR="008C09AE" w:rsidRPr="00E031A7" w:rsidRDefault="008C09AE" w:rsidP="00E031A7">
      <w:pPr>
        <w:spacing w:line="264" w:lineRule="auto"/>
        <w:ind w:firstLine="567"/>
        <w:rPr>
          <w:rFonts w:cs="Times New Roman"/>
          <w:szCs w:val="28"/>
          <w:lang w:val="uk-UA"/>
        </w:rPr>
      </w:pPr>
      <w:r w:rsidRPr="00E031A7">
        <w:rPr>
          <w:rFonts w:cs="Times New Roman"/>
          <w:szCs w:val="28"/>
          <w:lang w:val="uk-UA"/>
        </w:rPr>
        <w:t xml:space="preserve">Проблемою забезпечення прав дитини є існування так званого «батьківського відчуження». </w:t>
      </w:r>
      <w:r w:rsidR="00C1409F" w:rsidRPr="00E031A7">
        <w:rPr>
          <w:rFonts w:cs="Times New Roman"/>
          <w:szCs w:val="28"/>
          <w:lang w:val="uk-UA"/>
        </w:rPr>
        <w:t>Батьківське відчуження – це така форма емоційного насилля над дитиною, індивідуального жорстокого поводження з дітьми. Відповідно</w:t>
      </w:r>
      <w:r w:rsidR="00E01340" w:rsidRPr="00E031A7">
        <w:rPr>
          <w:rFonts w:cs="Times New Roman"/>
          <w:szCs w:val="28"/>
          <w:lang w:val="uk-UA"/>
        </w:rPr>
        <w:t>,</w:t>
      </w:r>
      <w:r w:rsidR="00C1409F" w:rsidRPr="00E031A7">
        <w:rPr>
          <w:rFonts w:cs="Times New Roman"/>
          <w:szCs w:val="28"/>
          <w:lang w:val="uk-UA"/>
        </w:rPr>
        <w:t xml:space="preserve"> така форма насилля потребує фундаментальної реформи сімейного права у напрямку спільного сумісного виховання як основи сімейного права </w:t>
      </w:r>
      <w:r w:rsidR="00E01340" w:rsidRPr="00E031A7">
        <w:rPr>
          <w:rFonts w:cs="Times New Roman"/>
          <w:szCs w:val="28"/>
          <w:lang w:val="uk-UA"/>
        </w:rPr>
        <w:t>[3, </w:t>
      </w:r>
      <w:r w:rsidR="00C1409F" w:rsidRPr="00E031A7">
        <w:rPr>
          <w:rFonts w:cs="Times New Roman"/>
          <w:szCs w:val="28"/>
          <w:lang w:val="uk-UA"/>
        </w:rPr>
        <w:t>с.</w:t>
      </w:r>
      <w:r w:rsidR="00F11472" w:rsidRPr="00E031A7">
        <w:rPr>
          <w:rFonts w:cs="Times New Roman"/>
          <w:szCs w:val="28"/>
          <w:lang w:val="uk-UA"/>
        </w:rPr>
        <w:t> </w:t>
      </w:r>
      <w:r w:rsidR="00C1409F" w:rsidRPr="00E031A7">
        <w:rPr>
          <w:rFonts w:cs="Times New Roman"/>
          <w:szCs w:val="28"/>
          <w:lang w:val="uk-UA"/>
        </w:rPr>
        <w:t xml:space="preserve">142]. Батьківське відчуження є порушенням Конвенції про права дитини, зокрема статей 7 щодо </w:t>
      </w:r>
      <w:r w:rsidR="00C1409F" w:rsidRPr="00E031A7">
        <w:rPr>
          <w:rFonts w:cs="Times New Roman"/>
          <w:szCs w:val="28"/>
          <w:shd w:val="clear" w:color="auto" w:fill="FFFFFF"/>
          <w:lang w:val="uk-UA"/>
        </w:rPr>
        <w:t xml:space="preserve">права </w:t>
      </w:r>
      <w:r w:rsidR="000C4D33" w:rsidRPr="00E031A7">
        <w:rPr>
          <w:rFonts w:cs="Times New Roman"/>
          <w:szCs w:val="28"/>
          <w:shd w:val="clear" w:color="auto" w:fill="FFFFFF"/>
          <w:lang w:val="uk-UA"/>
        </w:rPr>
        <w:t>«</w:t>
      </w:r>
      <w:r w:rsidR="00C1409F" w:rsidRPr="00E031A7">
        <w:rPr>
          <w:rFonts w:cs="Times New Roman"/>
          <w:szCs w:val="28"/>
          <w:shd w:val="clear" w:color="auto" w:fill="FFFFFF"/>
          <w:lang w:val="uk-UA"/>
        </w:rPr>
        <w:t>знати своїх батьків і права на їх піклування</w:t>
      </w:r>
      <w:r w:rsidR="000C4D33" w:rsidRPr="00E031A7">
        <w:rPr>
          <w:rFonts w:cs="Times New Roman"/>
          <w:szCs w:val="28"/>
          <w:shd w:val="clear" w:color="auto" w:fill="FFFFFF"/>
          <w:lang w:val="uk-UA"/>
        </w:rPr>
        <w:t>»</w:t>
      </w:r>
      <w:r w:rsidR="00C1409F" w:rsidRPr="00E031A7">
        <w:rPr>
          <w:rFonts w:cs="Times New Roman"/>
          <w:szCs w:val="28"/>
          <w:lang w:val="uk-UA"/>
        </w:rPr>
        <w:t xml:space="preserve"> та 9 щодо </w:t>
      </w:r>
      <w:r w:rsidR="00C1409F" w:rsidRPr="00E031A7">
        <w:rPr>
          <w:rFonts w:cs="Times New Roman"/>
          <w:szCs w:val="28"/>
          <w:shd w:val="clear" w:color="auto" w:fill="FFFFFF"/>
          <w:lang w:val="uk-UA"/>
        </w:rPr>
        <w:t xml:space="preserve">права дитини, </w:t>
      </w:r>
      <w:r w:rsidR="000C4D33" w:rsidRPr="00E031A7">
        <w:rPr>
          <w:rFonts w:cs="Times New Roman"/>
          <w:szCs w:val="28"/>
          <w:shd w:val="clear" w:color="auto" w:fill="FFFFFF"/>
          <w:lang w:val="uk-UA"/>
        </w:rPr>
        <w:t>«</w:t>
      </w:r>
      <w:r w:rsidR="00C1409F" w:rsidRPr="00E031A7">
        <w:rPr>
          <w:rFonts w:cs="Times New Roman"/>
          <w:szCs w:val="28"/>
          <w:shd w:val="clear" w:color="auto" w:fill="FFFFFF"/>
          <w:lang w:val="uk-UA"/>
        </w:rPr>
        <w:t xml:space="preserve">яка розлучається з одним </w:t>
      </w:r>
      <w:r w:rsidR="00C1409F" w:rsidRPr="00E031A7">
        <w:rPr>
          <w:rFonts w:cs="Times New Roman"/>
          <w:szCs w:val="28"/>
          <w:shd w:val="clear" w:color="auto" w:fill="FFFFFF"/>
          <w:lang w:val="uk-UA"/>
        </w:rPr>
        <w:lastRenderedPageBreak/>
        <w:t>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r w:rsidR="000C4D33" w:rsidRPr="00E031A7">
        <w:rPr>
          <w:rFonts w:cs="Times New Roman"/>
          <w:szCs w:val="28"/>
          <w:shd w:val="clear" w:color="auto" w:fill="FFFFFF"/>
          <w:lang w:val="uk-UA"/>
        </w:rPr>
        <w:t>»</w:t>
      </w:r>
      <w:r w:rsidR="00C1409F" w:rsidRPr="00E031A7">
        <w:rPr>
          <w:rFonts w:cs="Times New Roman"/>
          <w:szCs w:val="28"/>
          <w:shd w:val="clear" w:color="auto" w:fill="FFFFFF"/>
          <w:lang w:val="uk-UA"/>
        </w:rPr>
        <w:t xml:space="preserve"> [2].</w:t>
      </w:r>
      <w:r w:rsidR="00C1409F" w:rsidRPr="00E031A7">
        <w:rPr>
          <w:rFonts w:cs="Times New Roman"/>
          <w:szCs w:val="28"/>
          <w:lang w:val="uk-UA"/>
        </w:rPr>
        <w:t xml:space="preserve"> </w:t>
      </w:r>
      <w:r w:rsidR="00991DE3" w:rsidRPr="00E031A7">
        <w:rPr>
          <w:rFonts w:cs="Times New Roman"/>
          <w:szCs w:val="28"/>
          <w:lang w:val="uk-UA"/>
        </w:rPr>
        <w:t xml:space="preserve">Батьківське відчуження </w:t>
      </w:r>
      <w:r w:rsidR="009C0ADB" w:rsidRPr="00E031A7">
        <w:rPr>
          <w:rFonts w:cs="Times New Roman"/>
          <w:szCs w:val="28"/>
          <w:lang w:val="uk-UA"/>
        </w:rPr>
        <w:t>має місце</w:t>
      </w:r>
      <w:r w:rsidR="00055945" w:rsidRPr="00E031A7">
        <w:rPr>
          <w:rFonts w:cs="Times New Roman"/>
          <w:szCs w:val="28"/>
          <w:lang w:val="uk-UA"/>
        </w:rPr>
        <w:t xml:space="preserve"> через спори між батьками</w:t>
      </w:r>
      <w:r w:rsidR="00991DE3" w:rsidRPr="00E031A7">
        <w:rPr>
          <w:rFonts w:cs="Times New Roman"/>
          <w:szCs w:val="28"/>
          <w:lang w:val="uk-UA"/>
        </w:rPr>
        <w:t xml:space="preserve"> щодо о</w:t>
      </w:r>
      <w:r w:rsidR="00055945" w:rsidRPr="00E031A7">
        <w:rPr>
          <w:rFonts w:cs="Times New Roman"/>
          <w:szCs w:val="28"/>
          <w:lang w:val="uk-UA"/>
        </w:rPr>
        <w:t>піки над дитиною, тоді один з ба</w:t>
      </w:r>
      <w:r w:rsidR="00991DE3" w:rsidRPr="00E031A7">
        <w:rPr>
          <w:rFonts w:cs="Times New Roman"/>
          <w:szCs w:val="28"/>
          <w:lang w:val="uk-UA"/>
        </w:rPr>
        <w:t xml:space="preserve">тьків стає мішенню, а інший </w:t>
      </w:r>
      <w:r w:rsidR="005159F5" w:rsidRPr="00E031A7">
        <w:rPr>
          <w:rFonts w:cs="Times New Roman"/>
          <w:szCs w:val="28"/>
          <w:lang w:val="uk-UA"/>
        </w:rPr>
        <w:t>алієнатором</w:t>
      </w:r>
      <w:r w:rsidR="00991DE3" w:rsidRPr="00E031A7">
        <w:rPr>
          <w:rFonts w:cs="Times New Roman"/>
          <w:szCs w:val="28"/>
          <w:lang w:val="uk-UA"/>
        </w:rPr>
        <w:t>. Батько</w:t>
      </w:r>
      <w:r w:rsidR="00124AC5" w:rsidRPr="00E031A7">
        <w:rPr>
          <w:rFonts w:cs="Times New Roman"/>
          <w:szCs w:val="28"/>
          <w:lang w:val="uk-UA"/>
        </w:rPr>
        <w:t>/мати</w:t>
      </w:r>
      <w:r w:rsidR="00991DE3" w:rsidRPr="00E031A7">
        <w:rPr>
          <w:rFonts w:cs="Times New Roman"/>
          <w:szCs w:val="28"/>
          <w:lang w:val="uk-UA"/>
        </w:rPr>
        <w:t>-</w:t>
      </w:r>
      <w:r w:rsidR="005159F5" w:rsidRPr="00E031A7">
        <w:rPr>
          <w:rFonts w:cs="Times New Roman"/>
          <w:szCs w:val="28"/>
          <w:lang w:val="uk-UA"/>
        </w:rPr>
        <w:t>алієнатор</w:t>
      </w:r>
      <w:r w:rsidR="00991DE3" w:rsidRPr="00E031A7">
        <w:rPr>
          <w:rFonts w:cs="Times New Roman"/>
          <w:szCs w:val="28"/>
          <w:lang w:val="uk-UA"/>
        </w:rPr>
        <w:t xml:space="preserve"> «програмує» дитину проти батька</w:t>
      </w:r>
      <w:r w:rsidR="00124AC5" w:rsidRPr="00E031A7">
        <w:rPr>
          <w:rFonts w:cs="Times New Roman"/>
          <w:szCs w:val="28"/>
          <w:lang w:val="uk-UA"/>
        </w:rPr>
        <w:t>/матері</w:t>
      </w:r>
      <w:r w:rsidR="00991DE3" w:rsidRPr="00E031A7">
        <w:rPr>
          <w:rFonts w:cs="Times New Roman"/>
          <w:szCs w:val="28"/>
          <w:lang w:val="uk-UA"/>
        </w:rPr>
        <w:t>-мішені</w:t>
      </w:r>
      <w:r w:rsidR="009C0ADB" w:rsidRPr="00E031A7">
        <w:rPr>
          <w:rFonts w:cs="Times New Roman"/>
          <w:szCs w:val="28"/>
          <w:lang w:val="uk-UA"/>
        </w:rPr>
        <w:t>;</w:t>
      </w:r>
      <w:r w:rsidR="00C07513" w:rsidRPr="00E031A7">
        <w:rPr>
          <w:rFonts w:cs="Times New Roman"/>
          <w:szCs w:val="28"/>
          <w:lang w:val="uk-UA"/>
        </w:rPr>
        <w:t xml:space="preserve"> </w:t>
      </w:r>
      <w:r w:rsidR="00991DE3" w:rsidRPr="00E031A7">
        <w:rPr>
          <w:rFonts w:cs="Times New Roman"/>
          <w:szCs w:val="28"/>
          <w:lang w:val="uk-UA"/>
        </w:rPr>
        <w:t>відбувається підривання авторитету одного з батьків (</w:t>
      </w:r>
      <w:r w:rsidR="000F14F3" w:rsidRPr="00E031A7">
        <w:rPr>
          <w:rFonts w:cs="Times New Roman"/>
          <w:szCs w:val="28"/>
          <w:lang w:val="uk-UA"/>
        </w:rPr>
        <w:t xml:space="preserve">а саме, </w:t>
      </w:r>
      <w:r w:rsidR="00991DE3" w:rsidRPr="00E031A7">
        <w:rPr>
          <w:rFonts w:cs="Times New Roman"/>
          <w:szCs w:val="28"/>
          <w:lang w:val="uk-UA"/>
        </w:rPr>
        <w:t xml:space="preserve">мішені), він демонізується, а дитина втрачає здатного, люблячого </w:t>
      </w:r>
      <w:r w:rsidR="00934E1D" w:rsidRPr="00E031A7">
        <w:rPr>
          <w:rFonts w:cs="Times New Roman"/>
          <w:szCs w:val="28"/>
          <w:lang w:val="uk-UA"/>
        </w:rPr>
        <w:t>значимого дорослого, відбувається емоційне відто</w:t>
      </w:r>
      <w:r w:rsidR="00124AC5" w:rsidRPr="00E031A7">
        <w:rPr>
          <w:rFonts w:cs="Times New Roman"/>
          <w:szCs w:val="28"/>
          <w:lang w:val="uk-UA"/>
        </w:rPr>
        <w:t>ргнення дитини від такого батька/матері</w:t>
      </w:r>
      <w:r w:rsidR="00934E1D" w:rsidRPr="00E031A7">
        <w:rPr>
          <w:rFonts w:cs="Times New Roman"/>
          <w:szCs w:val="28"/>
          <w:lang w:val="uk-UA"/>
        </w:rPr>
        <w:t>.</w:t>
      </w:r>
      <w:r w:rsidR="00991DE3" w:rsidRPr="00E031A7">
        <w:rPr>
          <w:rFonts w:cs="Times New Roman"/>
          <w:szCs w:val="28"/>
          <w:lang w:val="uk-UA"/>
        </w:rPr>
        <w:t xml:space="preserve"> </w:t>
      </w:r>
      <w:r w:rsidR="005159F5" w:rsidRPr="00E031A7">
        <w:rPr>
          <w:rFonts w:cs="Times New Roman"/>
          <w:szCs w:val="28"/>
          <w:lang w:val="uk-UA"/>
        </w:rPr>
        <w:t>Таке батьківське відчуження дитини потреб</w:t>
      </w:r>
      <w:r w:rsidR="000A0A10" w:rsidRPr="00E031A7">
        <w:rPr>
          <w:rFonts w:cs="Times New Roman"/>
          <w:szCs w:val="28"/>
          <w:lang w:val="uk-UA"/>
        </w:rPr>
        <w:t>ує відповідного правого захисту, розробки механізму доведення такої форми насилля над дитиною</w:t>
      </w:r>
      <w:r w:rsidR="005159F5" w:rsidRPr="00E031A7">
        <w:rPr>
          <w:rFonts w:cs="Times New Roman"/>
          <w:szCs w:val="28"/>
          <w:lang w:val="uk-UA"/>
        </w:rPr>
        <w:t xml:space="preserve"> </w:t>
      </w:r>
      <w:r w:rsidR="000A0A10" w:rsidRPr="00E031A7">
        <w:rPr>
          <w:rFonts w:cs="Times New Roman"/>
          <w:szCs w:val="28"/>
          <w:lang w:val="uk-UA"/>
        </w:rPr>
        <w:t>та забезпечення відповідальності батька-алієнатора, зокрема кримінальної</w:t>
      </w:r>
      <w:r w:rsidR="009E4B83" w:rsidRPr="00E031A7">
        <w:rPr>
          <w:rFonts w:cs="Times New Roman"/>
          <w:szCs w:val="28"/>
          <w:lang w:val="uk-UA"/>
        </w:rPr>
        <w:t xml:space="preserve">, адже це має наслідки щодо формування </w:t>
      </w:r>
      <w:r w:rsidR="003C4A8C" w:rsidRPr="00E031A7">
        <w:rPr>
          <w:rFonts w:cs="Times New Roman"/>
          <w:szCs w:val="28"/>
          <w:lang w:val="uk-UA"/>
        </w:rPr>
        <w:t xml:space="preserve">психічно здорової </w:t>
      </w:r>
      <w:r w:rsidR="009E4B83" w:rsidRPr="00E031A7">
        <w:rPr>
          <w:rFonts w:cs="Times New Roman"/>
          <w:szCs w:val="28"/>
          <w:lang w:val="uk-UA"/>
        </w:rPr>
        <w:t>особистості,</w:t>
      </w:r>
      <w:r w:rsidR="003C4A8C" w:rsidRPr="00E031A7">
        <w:rPr>
          <w:rFonts w:cs="Times New Roman"/>
          <w:szCs w:val="28"/>
          <w:lang w:val="uk-UA"/>
        </w:rPr>
        <w:t xml:space="preserve"> повноцінного члена суспільства</w:t>
      </w:r>
      <w:r w:rsidR="009C0ADB" w:rsidRPr="00E031A7">
        <w:rPr>
          <w:rFonts w:cs="Times New Roman"/>
          <w:szCs w:val="28"/>
          <w:lang w:val="uk-UA"/>
        </w:rPr>
        <w:t>.</w:t>
      </w:r>
      <w:r w:rsidR="00CB36DF" w:rsidRPr="00E031A7">
        <w:rPr>
          <w:rFonts w:cs="Times New Roman"/>
          <w:szCs w:val="28"/>
          <w:lang w:val="uk-UA"/>
        </w:rPr>
        <w:t xml:space="preserve"> Кримінальне законодавство слушно передбачає застосування заходів покарання за розбещення неповнолітніх. Сексуальне розбещення небезпечне психологічними наслідками, які можуть знайти прояв через десятки років після самого злочинного діяння. А психологічне розбещення, тобто упереджене злочинне налаштування дитини проти одного із батьків, знаходить негативний прояв одразу, а за десятки років </w:t>
      </w:r>
      <w:r w:rsidR="002A3A1A" w:rsidRPr="00E031A7">
        <w:rPr>
          <w:rFonts w:cs="Times New Roman"/>
          <w:szCs w:val="28"/>
          <w:lang w:val="uk-UA"/>
        </w:rPr>
        <w:t>його наслідки взагалі будуть непрогнозованими.</w:t>
      </w:r>
    </w:p>
    <w:p w:rsidR="009C0ADB" w:rsidRPr="00E031A7" w:rsidRDefault="0076493E" w:rsidP="00E031A7">
      <w:pPr>
        <w:spacing w:line="264" w:lineRule="auto"/>
        <w:ind w:firstLine="567"/>
        <w:rPr>
          <w:rFonts w:cs="Times New Roman"/>
          <w:szCs w:val="28"/>
          <w:lang w:val="uk-UA"/>
        </w:rPr>
      </w:pPr>
      <w:r w:rsidRPr="00E031A7">
        <w:rPr>
          <w:rFonts w:cs="Times New Roman"/>
          <w:szCs w:val="28"/>
          <w:lang w:val="uk-UA"/>
        </w:rPr>
        <w:t xml:space="preserve">Взагалі українське </w:t>
      </w:r>
      <w:r w:rsidR="00CB36DF" w:rsidRPr="00E031A7">
        <w:rPr>
          <w:rFonts w:cs="Times New Roman"/>
          <w:szCs w:val="28"/>
          <w:lang w:val="uk-UA"/>
        </w:rPr>
        <w:t>кримінальне та кримінально-процесуальне законодавство можна назвати «злочинцецентристським»</w:t>
      </w:r>
      <w:r w:rsidR="002A3A1A" w:rsidRPr="00E031A7">
        <w:rPr>
          <w:rFonts w:cs="Times New Roman"/>
          <w:szCs w:val="28"/>
          <w:lang w:val="uk-UA"/>
        </w:rPr>
        <w:t>, за яким у потерпілого, свідків, слідчого та інших співробітників правоохоронних органів значно менше прав і державних гарантій, ніж у підозрюваного, обвинувачуваного, підсудного чи засудженого</w:t>
      </w:r>
      <w:r w:rsidR="00CB36DF" w:rsidRPr="00E031A7">
        <w:rPr>
          <w:rFonts w:cs="Times New Roman"/>
          <w:szCs w:val="28"/>
          <w:lang w:val="uk-UA"/>
        </w:rPr>
        <w:t xml:space="preserve">. </w:t>
      </w:r>
      <w:r w:rsidR="009D1C50" w:rsidRPr="00E031A7">
        <w:rPr>
          <w:rFonts w:cs="Times New Roman"/>
          <w:szCs w:val="28"/>
          <w:lang w:val="uk-UA"/>
        </w:rPr>
        <w:t>На</w:t>
      </w:r>
      <w:r w:rsidR="00E5179F" w:rsidRPr="00E031A7">
        <w:rPr>
          <w:rFonts w:cs="Times New Roman"/>
          <w:szCs w:val="28"/>
          <w:lang w:val="uk-UA"/>
        </w:rPr>
        <w:t xml:space="preserve"> </w:t>
      </w:r>
      <w:r w:rsidR="009D1C50" w:rsidRPr="00E031A7">
        <w:rPr>
          <w:rFonts w:cs="Times New Roman"/>
          <w:szCs w:val="28"/>
          <w:lang w:val="uk-UA"/>
        </w:rPr>
        <w:t>противагу цьому п</w:t>
      </w:r>
      <w:r w:rsidR="002A3A1A" w:rsidRPr="00E031A7">
        <w:rPr>
          <w:rFonts w:cs="Times New Roman"/>
          <w:szCs w:val="28"/>
          <w:lang w:val="uk-UA"/>
        </w:rPr>
        <w:t>риклади з деяких азійських держав вказують на те, що найбільш ефективним засобом профілактики скоєння злочинів та правопорушень є наявність у законодавстві можливості застосування жорсткого покарання та реальна відсутність можливості відкупитися від нього. Тому, на нашу думку, сьогодні слід говорити не про декриміналізацію, а навпаки – про посилення відповідальності та запровадженні відповідальності за вчинення певних дій, які раніше не визнавалися злочинними.</w:t>
      </w:r>
    </w:p>
    <w:p w:rsidR="0017720E" w:rsidRPr="00E031A7" w:rsidRDefault="0017720E">
      <w:pPr>
        <w:rPr>
          <w:rFonts w:cs="Times New Roman"/>
          <w:szCs w:val="28"/>
          <w:lang w:val="uk-UA"/>
        </w:rPr>
      </w:pPr>
    </w:p>
    <w:p w:rsidR="00D612D0" w:rsidRPr="00E031A7" w:rsidRDefault="00D612D0" w:rsidP="00F26168">
      <w:pPr>
        <w:ind w:firstLine="709"/>
        <w:rPr>
          <w:rFonts w:cs="Times New Roman"/>
          <w:b/>
          <w:sz w:val="26"/>
          <w:szCs w:val="26"/>
          <w:lang w:val="uk-UA"/>
        </w:rPr>
      </w:pPr>
      <w:r w:rsidRPr="00E031A7">
        <w:rPr>
          <w:rFonts w:cs="Times New Roman"/>
          <w:b/>
          <w:sz w:val="26"/>
          <w:szCs w:val="26"/>
          <w:lang w:val="uk-UA"/>
        </w:rPr>
        <w:t>Література:</w:t>
      </w:r>
    </w:p>
    <w:p w:rsidR="00D612D0" w:rsidRPr="00E031A7" w:rsidRDefault="00D612D0" w:rsidP="001C670A">
      <w:pPr>
        <w:pStyle w:val="a3"/>
        <w:numPr>
          <w:ilvl w:val="0"/>
          <w:numId w:val="2"/>
        </w:numPr>
        <w:ind w:left="567"/>
        <w:rPr>
          <w:rFonts w:cs="Times New Roman"/>
          <w:sz w:val="26"/>
          <w:szCs w:val="26"/>
          <w:lang w:val="uk-UA"/>
        </w:rPr>
      </w:pPr>
      <w:r w:rsidRPr="00E031A7">
        <w:rPr>
          <w:rFonts w:cs="Times New Roman"/>
          <w:sz w:val="26"/>
          <w:szCs w:val="26"/>
          <w:lang w:val="uk-UA"/>
        </w:rPr>
        <w:t xml:space="preserve">Права дитини в Україні. URL: </w:t>
      </w:r>
      <w:hyperlink r:id="rId8" w:history="1">
        <w:r w:rsidRPr="00E031A7">
          <w:rPr>
            <w:rFonts w:cs="Times New Roman"/>
            <w:sz w:val="26"/>
            <w:szCs w:val="26"/>
            <w:lang w:val="uk-UA"/>
          </w:rPr>
          <w:t>http://stepmnvk.net.ua/prava-ditini-v-ukra%D1%97n%D1%96.html</w:t>
        </w:r>
      </w:hyperlink>
    </w:p>
    <w:p w:rsidR="00D612D0" w:rsidRPr="00E031A7" w:rsidRDefault="00A3550B" w:rsidP="001C670A">
      <w:pPr>
        <w:pStyle w:val="a3"/>
        <w:numPr>
          <w:ilvl w:val="0"/>
          <w:numId w:val="2"/>
        </w:numPr>
        <w:ind w:left="567"/>
        <w:rPr>
          <w:rFonts w:cs="Times New Roman"/>
          <w:sz w:val="26"/>
          <w:szCs w:val="26"/>
          <w:lang w:val="uk-UA"/>
        </w:rPr>
      </w:pPr>
      <w:r w:rsidRPr="00E031A7">
        <w:rPr>
          <w:rFonts w:cs="Times New Roman"/>
          <w:sz w:val="26"/>
          <w:szCs w:val="26"/>
          <w:lang w:val="uk-UA"/>
        </w:rPr>
        <w:t xml:space="preserve">Конвенція </w:t>
      </w:r>
      <w:r w:rsidR="002C5C6D" w:rsidRPr="00E031A7">
        <w:rPr>
          <w:rFonts w:cs="Times New Roman"/>
          <w:sz w:val="26"/>
          <w:szCs w:val="26"/>
          <w:lang w:val="uk-UA"/>
        </w:rPr>
        <w:t xml:space="preserve">про </w:t>
      </w:r>
      <w:r w:rsidRPr="00E031A7">
        <w:rPr>
          <w:rFonts w:cs="Times New Roman"/>
          <w:sz w:val="26"/>
          <w:szCs w:val="26"/>
          <w:lang w:val="uk-UA"/>
        </w:rPr>
        <w:t>прав</w:t>
      </w:r>
      <w:r w:rsidR="002C5C6D" w:rsidRPr="00E031A7">
        <w:rPr>
          <w:rFonts w:cs="Times New Roman"/>
          <w:sz w:val="26"/>
          <w:szCs w:val="26"/>
          <w:lang w:val="uk-UA"/>
        </w:rPr>
        <w:t>а</w:t>
      </w:r>
      <w:r w:rsidRPr="00E031A7">
        <w:rPr>
          <w:rFonts w:cs="Times New Roman"/>
          <w:sz w:val="26"/>
          <w:szCs w:val="26"/>
          <w:lang w:val="uk-UA"/>
        </w:rPr>
        <w:t xml:space="preserve"> дитини. URL: </w:t>
      </w:r>
      <w:hyperlink r:id="rId9" w:history="1">
        <w:r w:rsidR="002C5C6D" w:rsidRPr="00E031A7">
          <w:rPr>
            <w:rStyle w:val="a4"/>
            <w:rFonts w:cs="Times New Roman"/>
            <w:color w:val="auto"/>
            <w:sz w:val="26"/>
            <w:szCs w:val="26"/>
            <w:lang w:val="uk-UA"/>
          </w:rPr>
          <w:t>https://zakon.rada.gov.ua/laws/show/995_021</w:t>
        </w:r>
      </w:hyperlink>
    </w:p>
    <w:p w:rsidR="00C2162C" w:rsidRPr="00E031A7" w:rsidRDefault="00C2162C" w:rsidP="001C670A">
      <w:pPr>
        <w:pStyle w:val="Default"/>
        <w:numPr>
          <w:ilvl w:val="0"/>
          <w:numId w:val="2"/>
        </w:numPr>
        <w:ind w:left="567"/>
        <w:rPr>
          <w:color w:val="auto"/>
          <w:sz w:val="26"/>
          <w:szCs w:val="26"/>
          <w:lang w:val="uk-UA"/>
        </w:rPr>
      </w:pPr>
      <w:r w:rsidRPr="00E031A7">
        <w:rPr>
          <w:color w:val="auto"/>
          <w:sz w:val="26"/>
          <w:szCs w:val="26"/>
          <w:lang w:val="uk-UA"/>
        </w:rPr>
        <w:t xml:space="preserve">Edward Kruk, Ph.D. Parental Alienation as a Form of Emotional Child Abuse: Current State of Knowledge and Future Directions for Research Family Science Review. Volume 22. Issue 4. 2018. URL: </w:t>
      </w:r>
      <w:hyperlink r:id="rId10" w:history="1">
        <w:r w:rsidRPr="00E031A7">
          <w:rPr>
            <w:color w:val="auto"/>
            <w:sz w:val="26"/>
            <w:szCs w:val="26"/>
            <w:lang w:val="uk-UA"/>
          </w:rPr>
          <w:t>http://www.familyscienceassociation.org/sites/default/files/9%20-%20KRUK-Parental%20Alienation%20-%20Family%20Science%20Review.pdf</w:t>
        </w:r>
      </w:hyperlink>
    </w:p>
    <w:sectPr w:rsidR="00C2162C" w:rsidRPr="00E031A7" w:rsidSect="00E031A7">
      <w:headerReference w:type="default" r:id="rId11"/>
      <w:pgSz w:w="11906" w:h="16838"/>
      <w:pgMar w:top="2155" w:right="567" w:bottom="1134" w:left="1134" w:header="0" w:footer="709" w:gutter="0"/>
      <w:pgNumType w:start="1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C7" w:rsidRDefault="002041C7" w:rsidP="00E031A7">
      <w:r>
        <w:separator/>
      </w:r>
    </w:p>
  </w:endnote>
  <w:endnote w:type="continuationSeparator" w:id="0">
    <w:p w:rsidR="002041C7" w:rsidRDefault="002041C7" w:rsidP="00E0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C7" w:rsidRDefault="002041C7" w:rsidP="00E031A7">
      <w:r>
        <w:separator/>
      </w:r>
    </w:p>
  </w:footnote>
  <w:footnote w:type="continuationSeparator" w:id="0">
    <w:p w:rsidR="002041C7" w:rsidRDefault="002041C7" w:rsidP="00E0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180186"/>
      <w:docPartObj>
        <w:docPartGallery w:val="Page Numbers (Top of Page)"/>
        <w:docPartUnique/>
      </w:docPartObj>
    </w:sdtPr>
    <w:sdtEndPr/>
    <w:sdtContent>
      <w:p w:rsidR="00E031A7" w:rsidRDefault="00E031A7">
        <w:pPr>
          <w:pStyle w:val="a5"/>
          <w:jc w:val="right"/>
        </w:pPr>
        <w:r>
          <w:fldChar w:fldCharType="begin"/>
        </w:r>
        <w:r>
          <w:instrText>PAGE   \* MERGEFORMAT</w:instrText>
        </w:r>
        <w:r>
          <w:fldChar w:fldCharType="separate"/>
        </w:r>
        <w:r w:rsidR="006E35B5">
          <w:rPr>
            <w:noProof/>
          </w:rPr>
          <w:t>104</w:t>
        </w:r>
        <w:r>
          <w:fldChar w:fldCharType="end"/>
        </w:r>
      </w:p>
    </w:sdtContent>
  </w:sdt>
  <w:p w:rsidR="00E031A7" w:rsidRDefault="00E031A7">
    <w:pPr>
      <w:pStyle w:val="a5"/>
    </w:pPr>
    <w:r>
      <w:t xml:space="preserve">Фоміна О.О., Деревянко Б.В. «Батьківське відчуження»: щодо криміналізації діяння. </w:t>
    </w:r>
    <w:r>
      <w:rPr>
        <w:i/>
      </w:rPr>
      <w:t>Реалізація прав людини у діяльності правоохоронних органів:</w:t>
    </w:r>
    <w:r>
      <w:t xml:space="preserve"> матеріали ІІІ міжнар. наук.-практ. конф. (30 квітня 2020 року). Кривий </w:t>
    </w:r>
    <w:r>
      <w:rPr>
        <w:lang w:val="uk-UA"/>
      </w:rPr>
      <w:t>Р</w:t>
    </w:r>
    <w:r>
      <w:t>іг: ДЮІ, 2020. С. 104–105.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1A1D"/>
    <w:multiLevelType w:val="hybridMultilevel"/>
    <w:tmpl w:val="607A94E2"/>
    <w:lvl w:ilvl="0" w:tplc="A2ECDC5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B2FAF"/>
    <w:multiLevelType w:val="hybridMultilevel"/>
    <w:tmpl w:val="FB14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42"/>
    <w:rsid w:val="00055945"/>
    <w:rsid w:val="000A0A10"/>
    <w:rsid w:val="000C4D33"/>
    <w:rsid w:val="000F14F3"/>
    <w:rsid w:val="00124AC5"/>
    <w:rsid w:val="0017720E"/>
    <w:rsid w:val="00185252"/>
    <w:rsid w:val="001C670A"/>
    <w:rsid w:val="002041C7"/>
    <w:rsid w:val="0026206E"/>
    <w:rsid w:val="002A3A1A"/>
    <w:rsid w:val="002C5C6D"/>
    <w:rsid w:val="003C4A8C"/>
    <w:rsid w:val="003D714A"/>
    <w:rsid w:val="005159F5"/>
    <w:rsid w:val="00526A2B"/>
    <w:rsid w:val="00585287"/>
    <w:rsid w:val="006E35B5"/>
    <w:rsid w:val="0076493E"/>
    <w:rsid w:val="00864BAD"/>
    <w:rsid w:val="008C09AE"/>
    <w:rsid w:val="009054E0"/>
    <w:rsid w:val="00933D80"/>
    <w:rsid w:val="00934E1D"/>
    <w:rsid w:val="00991DE3"/>
    <w:rsid w:val="009C0ADB"/>
    <w:rsid w:val="009D1C50"/>
    <w:rsid w:val="009E4B83"/>
    <w:rsid w:val="00A3550B"/>
    <w:rsid w:val="00BD1BEF"/>
    <w:rsid w:val="00C00942"/>
    <w:rsid w:val="00C07513"/>
    <w:rsid w:val="00C1409F"/>
    <w:rsid w:val="00C2162C"/>
    <w:rsid w:val="00C4207F"/>
    <w:rsid w:val="00CB36DF"/>
    <w:rsid w:val="00D028C1"/>
    <w:rsid w:val="00D55666"/>
    <w:rsid w:val="00D612D0"/>
    <w:rsid w:val="00DA05EB"/>
    <w:rsid w:val="00E01340"/>
    <w:rsid w:val="00E031A7"/>
    <w:rsid w:val="00E5179F"/>
    <w:rsid w:val="00EE2B3C"/>
    <w:rsid w:val="00F11472"/>
    <w:rsid w:val="00F26168"/>
    <w:rsid w:val="00FB645D"/>
    <w:rsid w:val="00FC6DCA"/>
    <w:rsid w:val="00FE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D0"/>
    <w:pPr>
      <w:ind w:left="720"/>
      <w:contextualSpacing/>
    </w:pPr>
  </w:style>
  <w:style w:type="character" w:styleId="a4">
    <w:name w:val="Hyperlink"/>
    <w:basedOn w:val="a0"/>
    <w:uiPriority w:val="99"/>
    <w:semiHidden/>
    <w:unhideWhenUsed/>
    <w:rsid w:val="00D612D0"/>
    <w:rPr>
      <w:color w:val="0000FF"/>
      <w:u w:val="single"/>
    </w:rPr>
  </w:style>
  <w:style w:type="paragraph" w:customStyle="1" w:styleId="Default">
    <w:name w:val="Default"/>
    <w:rsid w:val="00C216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E031A7"/>
    <w:pPr>
      <w:tabs>
        <w:tab w:val="center" w:pos="4677"/>
        <w:tab w:val="right" w:pos="9355"/>
      </w:tabs>
    </w:pPr>
  </w:style>
  <w:style w:type="character" w:customStyle="1" w:styleId="a6">
    <w:name w:val="Верхний колонтитул Знак"/>
    <w:basedOn w:val="a0"/>
    <w:link w:val="a5"/>
    <w:uiPriority w:val="99"/>
    <w:rsid w:val="00E031A7"/>
    <w:rPr>
      <w:rFonts w:ascii="Times New Roman" w:hAnsi="Times New Roman"/>
      <w:sz w:val="28"/>
    </w:rPr>
  </w:style>
  <w:style w:type="paragraph" w:styleId="a7">
    <w:name w:val="footer"/>
    <w:basedOn w:val="a"/>
    <w:link w:val="a8"/>
    <w:uiPriority w:val="99"/>
    <w:unhideWhenUsed/>
    <w:rsid w:val="00E031A7"/>
    <w:pPr>
      <w:tabs>
        <w:tab w:val="center" w:pos="4677"/>
        <w:tab w:val="right" w:pos="9355"/>
      </w:tabs>
    </w:pPr>
  </w:style>
  <w:style w:type="character" w:customStyle="1" w:styleId="a8">
    <w:name w:val="Нижний колонтитул Знак"/>
    <w:basedOn w:val="a0"/>
    <w:link w:val="a7"/>
    <w:uiPriority w:val="99"/>
    <w:rsid w:val="00E031A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D0"/>
    <w:pPr>
      <w:ind w:left="720"/>
      <w:contextualSpacing/>
    </w:pPr>
  </w:style>
  <w:style w:type="character" w:styleId="a4">
    <w:name w:val="Hyperlink"/>
    <w:basedOn w:val="a0"/>
    <w:uiPriority w:val="99"/>
    <w:semiHidden/>
    <w:unhideWhenUsed/>
    <w:rsid w:val="00D612D0"/>
    <w:rPr>
      <w:color w:val="0000FF"/>
      <w:u w:val="single"/>
    </w:rPr>
  </w:style>
  <w:style w:type="paragraph" w:customStyle="1" w:styleId="Default">
    <w:name w:val="Default"/>
    <w:rsid w:val="00C216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E031A7"/>
    <w:pPr>
      <w:tabs>
        <w:tab w:val="center" w:pos="4677"/>
        <w:tab w:val="right" w:pos="9355"/>
      </w:tabs>
    </w:pPr>
  </w:style>
  <w:style w:type="character" w:customStyle="1" w:styleId="a6">
    <w:name w:val="Верхний колонтитул Знак"/>
    <w:basedOn w:val="a0"/>
    <w:link w:val="a5"/>
    <w:uiPriority w:val="99"/>
    <w:rsid w:val="00E031A7"/>
    <w:rPr>
      <w:rFonts w:ascii="Times New Roman" w:hAnsi="Times New Roman"/>
      <w:sz w:val="28"/>
    </w:rPr>
  </w:style>
  <w:style w:type="paragraph" w:styleId="a7">
    <w:name w:val="footer"/>
    <w:basedOn w:val="a"/>
    <w:link w:val="a8"/>
    <w:uiPriority w:val="99"/>
    <w:unhideWhenUsed/>
    <w:rsid w:val="00E031A7"/>
    <w:pPr>
      <w:tabs>
        <w:tab w:val="center" w:pos="4677"/>
        <w:tab w:val="right" w:pos="9355"/>
      </w:tabs>
    </w:pPr>
  </w:style>
  <w:style w:type="character" w:customStyle="1" w:styleId="a8">
    <w:name w:val="Нижний колонтитул Знак"/>
    <w:basedOn w:val="a0"/>
    <w:link w:val="a7"/>
    <w:uiPriority w:val="99"/>
    <w:rsid w:val="00E031A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mnvk.net.ua/prava-ditini-v-ukra%D1%97n%D1%96.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milyscienceassociation.org/sites/default/files/9%20-%20KRUK-Parental%20Alienation%20-%20Family%20Science%20Review.pdf" TargetMode="External"/><Relationship Id="rId4" Type="http://schemas.openxmlformats.org/officeDocument/2006/relationships/settings" Target="settings.xml"/><Relationship Id="rId9" Type="http://schemas.openxmlformats.org/officeDocument/2006/relationships/hyperlink" Target="https://zakon.rada.gov.ua/laws/show/995_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гыук</cp:lastModifiedBy>
  <cp:revision>10</cp:revision>
  <dcterms:created xsi:type="dcterms:W3CDTF">2020-04-24T16:57:00Z</dcterms:created>
  <dcterms:modified xsi:type="dcterms:W3CDTF">2020-07-05T10:41:00Z</dcterms:modified>
</cp:coreProperties>
</file>