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B0" w:rsidRPr="00823C19" w:rsidRDefault="00E67CB0" w:rsidP="00E04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УДК 330.34:339.13.017</w:t>
      </w:r>
    </w:p>
    <w:p w:rsidR="00E046BE" w:rsidRPr="00823C19" w:rsidRDefault="00E046BE" w:rsidP="00E046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Економіка та управління національним господарством</w:t>
      </w:r>
    </w:p>
    <w:p w:rsidR="00E046BE" w:rsidRPr="00823C19" w:rsidRDefault="00E046BE" w:rsidP="00823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823C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Яхно</w:t>
      </w:r>
      <w:proofErr w:type="spellEnd"/>
      <w:r w:rsidRPr="00823C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 Т.П.</w:t>
      </w:r>
    </w:p>
    <w:p w:rsidR="00E046BE" w:rsidRPr="00823C19" w:rsidRDefault="00E046BE" w:rsidP="00823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823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к.е.н</w:t>
      </w:r>
      <w:proofErr w:type="spellEnd"/>
      <w:r w:rsidRPr="00823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., доцент,</w:t>
      </w:r>
    </w:p>
    <w:p w:rsidR="00E046BE" w:rsidRPr="00823C19" w:rsidRDefault="00E046BE" w:rsidP="00823C1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823C19">
        <w:rPr>
          <w:rFonts w:ascii="Times New Roman" w:hAnsi="Times New Roman"/>
          <w:i/>
          <w:sz w:val="28"/>
          <w:szCs w:val="28"/>
          <w:lang w:val="uk-UA"/>
        </w:rPr>
        <w:t xml:space="preserve">доцент кафедри міжнародних економічних відносин, </w:t>
      </w:r>
    </w:p>
    <w:p w:rsidR="00E046BE" w:rsidRPr="00823C19" w:rsidRDefault="00E046BE" w:rsidP="00823C19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823C19">
        <w:rPr>
          <w:rFonts w:ascii="Times New Roman" w:hAnsi="Times New Roman"/>
          <w:i/>
          <w:sz w:val="28"/>
          <w:szCs w:val="28"/>
          <w:lang w:val="uk-UA"/>
        </w:rPr>
        <w:t>Львівський торговельно-економічний університет</w:t>
      </w:r>
    </w:p>
    <w:p w:rsidR="00E046BE" w:rsidRPr="00823C19" w:rsidRDefault="00E046BE" w:rsidP="00823C1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23C19">
        <w:rPr>
          <w:rFonts w:ascii="Times New Roman" w:hAnsi="Times New Roman"/>
          <w:b/>
          <w:i/>
          <w:sz w:val="28"/>
          <w:szCs w:val="28"/>
          <w:lang w:val="uk-UA"/>
        </w:rPr>
        <w:t>Гусаковська</w:t>
      </w:r>
      <w:proofErr w:type="spellEnd"/>
      <w:r w:rsidRPr="00823C19">
        <w:rPr>
          <w:rFonts w:ascii="Times New Roman" w:hAnsi="Times New Roman"/>
          <w:b/>
          <w:i/>
          <w:sz w:val="28"/>
          <w:szCs w:val="28"/>
          <w:lang w:val="uk-UA"/>
        </w:rPr>
        <w:t> Т.О.</w:t>
      </w:r>
    </w:p>
    <w:p w:rsidR="00E046BE" w:rsidRPr="00823C19" w:rsidRDefault="00E046BE" w:rsidP="00823C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823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к.е.н</w:t>
      </w:r>
      <w:proofErr w:type="spellEnd"/>
      <w:r w:rsidRPr="00823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., доцент,</w:t>
      </w:r>
    </w:p>
    <w:p w:rsidR="00E046BE" w:rsidRPr="00823C19" w:rsidRDefault="00E046BE" w:rsidP="00C0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доцент кафедри менеджменту, </w:t>
      </w:r>
    </w:p>
    <w:p w:rsidR="00E046BE" w:rsidRPr="00823C19" w:rsidRDefault="00E046BE" w:rsidP="00C0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Полтавський університет економіки і торгівлі</w:t>
      </w:r>
    </w:p>
    <w:p w:rsidR="008B3D34" w:rsidRPr="00823C19" w:rsidRDefault="00E046BE" w:rsidP="00C01D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ВИЗНАЧЕННЯ РІВНЯ ЕКОНОМІЧНОГО РОЗВИТКУ УКРАЇНИ ЗА ПОКАЗНИКАМИ СТАНУ СПОЖИВЧОГО РИНКУ</w:t>
      </w:r>
    </w:p>
    <w:p w:rsidR="00852B7E" w:rsidRPr="00823C19" w:rsidRDefault="00852B7E" w:rsidP="00EC3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Анотація.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У статті здійснено аналіз показників економічного розвитку України. Досліджено основні індикатори стану споживчого ринку та їх взаємозв’язок з динамікою показників економічного розвитку. Доведено, що функціонування споживчого ринку має важливе значення для розвитку економіки країни, а рівень основних показників економічного розвитку значною мірою залежить від рівня індикаторів споживчого ринку.</w:t>
      </w:r>
    </w:p>
    <w:p w:rsidR="00852B7E" w:rsidRPr="00823C19" w:rsidRDefault="00852B7E" w:rsidP="00F03F26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слова: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економічний розвиток, споживчий ринок, валовий внутрішній продукт, споживчі товари, обсяг роздрібного товарообороту, споживчі витрати домогосподарства, дохід домогосподарства</w:t>
      </w:r>
    </w:p>
    <w:p w:rsidR="00193B95" w:rsidRPr="00823C19" w:rsidRDefault="00E67CB0" w:rsidP="00EC3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Постановка проблеми.</w:t>
      </w:r>
      <w:r w:rsidRPr="00823C19">
        <w:rPr>
          <w:lang w:val="uk-UA"/>
        </w:rPr>
        <w:t xml:space="preserve"> </w:t>
      </w:r>
      <w:r w:rsidR="00193B95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В умовах  глобального розвитку України  та перебудови вітчизняної економіки відповідно до умов постіндустріального суспільства важливим чинником забезпечення сталого економічного розвитку залишається споживчий ринок. Він </w:t>
      </w:r>
      <w:r w:rsidR="002F667C" w:rsidRPr="00823C19">
        <w:rPr>
          <w:rFonts w:ascii="Times New Roman" w:hAnsi="Times New Roman" w:cs="Times New Roman"/>
          <w:sz w:val="28"/>
          <w:szCs w:val="28"/>
          <w:lang w:val="uk-UA"/>
        </w:rPr>
        <w:t>поряд з іншими складовими економічної системи є провідною рушійною силою економічного розвитку країни. З</w:t>
      </w:r>
      <w:r w:rsidR="00193B95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огляду на це, виникає об’єктивна необхідність аналізу сучасних тенденцій, які мають місце в розвитку вітчизняного споживчого ринку.</w:t>
      </w:r>
    </w:p>
    <w:p w:rsidR="00F6330D" w:rsidRPr="00823C19" w:rsidRDefault="009D69BC" w:rsidP="002F6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Аналіз останніх досліджень і публікацій. </w:t>
      </w:r>
      <w:r w:rsidR="009C5438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Питанням дослідження економічного розвитку та факторів, що впливають на нього, присвячені роботи багатьох вчених, зокрема </w:t>
      </w:r>
      <w:proofErr w:type="spellStart"/>
      <w:r w:rsidR="009C5438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Венгер</w:t>
      </w:r>
      <w:proofErr w:type="spellEnd"/>
      <w:r w:rsidR="00EC30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C5438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В.В., Глухої Г.Я., </w:t>
      </w:r>
      <w:proofErr w:type="spellStart"/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Іноземцева</w:t>
      </w:r>
      <w:proofErr w:type="spellEnd"/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В.Л., </w:t>
      </w:r>
      <w:proofErr w:type="spellStart"/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Кондратьєва</w:t>
      </w:r>
      <w:proofErr w:type="spellEnd"/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Н.Д., Мельника Л.Г., </w:t>
      </w:r>
      <w:proofErr w:type="spellStart"/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Проданової</w:t>
      </w:r>
      <w:proofErr w:type="spellEnd"/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Л.В., </w:t>
      </w:r>
      <w:proofErr w:type="spellStart"/>
      <w:r w:rsidR="009C5438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Шумпетера</w:t>
      </w:r>
      <w:proofErr w:type="spellEnd"/>
      <w:r w:rsidR="009C5438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Й.</w:t>
      </w:r>
      <w:r w:rsidR="00F6330D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інших. </w:t>
      </w:r>
    </w:p>
    <w:p w:rsidR="009D69BC" w:rsidRPr="00823C19" w:rsidRDefault="00F6330D" w:rsidP="002F6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Виділення не вирішених раніше частин загальної проблеми. </w:t>
      </w:r>
      <w:r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Незважаючи на велику кількість досліджень щодо зазначеної проблематики та розгляд економічного розвитку держави вченими в різних аспектах, недостатньо розробленими </w:t>
      </w:r>
      <w:r w:rsidR="00490434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залишаються</w:t>
      </w:r>
      <w:r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 впливу показників споживчого ринку </w:t>
      </w:r>
      <w:r w:rsidR="00B44EC1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економічний розвиток.</w:t>
      </w:r>
      <w:r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D69BC" w:rsidRPr="00823C19" w:rsidRDefault="009D69BC" w:rsidP="002F6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Метою статті </w:t>
      </w:r>
      <w:r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="009C5438" w:rsidRPr="00823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основних індикаторів стану споживчого ринку та дослідження їх впливу на економічний розвиток України.</w:t>
      </w:r>
    </w:p>
    <w:p w:rsidR="007A7D4F" w:rsidRPr="00823C19" w:rsidRDefault="00781C25" w:rsidP="0074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Виклад основного матеріалу. </w:t>
      </w:r>
      <w:r w:rsidR="002F667C" w:rsidRPr="00823C19">
        <w:rPr>
          <w:rFonts w:ascii="Times New Roman" w:hAnsi="Times New Roman" w:cs="Times New Roman"/>
          <w:sz w:val="28"/>
          <w:szCs w:val="28"/>
          <w:lang w:val="uk-UA"/>
        </w:rPr>
        <w:t>Економічний розвиток України протягом останніх років не був стабільним, що пояснюється як зміною зовнішньоекономічної кон’юнктури, так і внутрішніми чинниками, зокрема посиленням втручання держави у розподіл фінансових ресурсів, непослідовністю державної економічної політики, відсутністю прогресу у проведенні структурних реформ, політичною  та економічною нестабільністю.</w:t>
      </w:r>
      <w:r w:rsidR="009D69BC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2AAB" w:rsidRPr="00823C19">
        <w:rPr>
          <w:rFonts w:ascii="Times New Roman" w:hAnsi="Times New Roman" w:cs="Times New Roman"/>
          <w:sz w:val="28"/>
          <w:szCs w:val="28"/>
          <w:lang w:val="uk-UA"/>
        </w:rPr>
        <w:t>Як відомо, у 2014 році вітчизняна економіка потрапила під вплив ціл</w:t>
      </w:r>
      <w:r w:rsidR="009D69BC" w:rsidRPr="00823C1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52AAB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E76" w:rsidRPr="00823C19">
        <w:rPr>
          <w:rFonts w:ascii="Times New Roman" w:hAnsi="Times New Roman" w:cs="Times New Roman"/>
          <w:sz w:val="28"/>
          <w:szCs w:val="28"/>
          <w:lang w:val="uk-UA"/>
        </w:rPr>
        <w:t>низки</w:t>
      </w:r>
      <w:r w:rsidR="00852AAB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негативних факторів, що походили з трьох джерел: зовнішнього воєнно-політичного; внутрішнього структурно-економічного; недостатності зусиль з реформування системи монетарного регулювання [</w:t>
      </w:r>
      <w:r w:rsidR="00E0217B" w:rsidRPr="00823C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2AAB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2F667C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Однак </w:t>
      </w:r>
      <w:r w:rsidR="00115F6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слід зазначити, що у 2016 р. спостерігаються </w:t>
      </w:r>
      <w:r w:rsidR="00254F38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="00115F6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позитивні тенденції, що дають привід дослідникам </w:t>
      </w:r>
      <w:r w:rsidR="00254F38" w:rsidRPr="00823C19">
        <w:rPr>
          <w:rFonts w:ascii="Times New Roman" w:hAnsi="Times New Roman" w:cs="Times New Roman"/>
          <w:sz w:val="28"/>
          <w:szCs w:val="28"/>
          <w:lang w:val="uk-UA"/>
        </w:rPr>
        <w:t>стверджувати про початок виходу української економіки з глибокої кризи. Про це свідчить зростання</w:t>
      </w:r>
      <w:r w:rsidR="00115F6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ВВП </w:t>
      </w:r>
      <w:r w:rsidR="00254F38" w:rsidRPr="00823C19">
        <w:rPr>
          <w:rFonts w:ascii="Times New Roman" w:hAnsi="Times New Roman" w:cs="Times New Roman"/>
          <w:sz w:val="28"/>
          <w:szCs w:val="28"/>
          <w:lang w:val="uk-UA"/>
        </w:rPr>
        <w:t>на 2,</w:t>
      </w:r>
      <w:r w:rsidR="007A7D4F" w:rsidRPr="00823C19">
        <w:rPr>
          <w:rFonts w:ascii="Times New Roman" w:hAnsi="Times New Roman" w:cs="Times New Roman"/>
          <w:sz w:val="28"/>
          <w:szCs w:val="28"/>
          <w:lang w:val="uk-UA"/>
        </w:rPr>
        <w:t>9% порівняно з попереднім роком.</w:t>
      </w:r>
      <w:r w:rsidR="00254F38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D4F" w:rsidRPr="00823C19">
        <w:rPr>
          <w:rFonts w:ascii="Times New Roman" w:hAnsi="Times New Roman" w:cs="Times New Roman"/>
          <w:sz w:val="28"/>
          <w:szCs w:val="28"/>
          <w:lang w:val="uk-UA"/>
        </w:rPr>
        <w:t>Україна посилила свої позиції</w:t>
      </w:r>
      <w:r w:rsidR="00254F38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у світовому рейтингу інвестиційної привабливості</w:t>
      </w:r>
      <w:r w:rsidR="007A7D4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на 1 пункт</w:t>
      </w:r>
      <w:r w:rsidR="005D5796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0217B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5796" w:rsidRPr="00823C1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A7D4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та відбулося підвищення інвестиційної активності: в економіку України надійшло 3,1 млрд</w:t>
      </w:r>
      <w:r w:rsidR="00934792" w:rsidRPr="00823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D4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дол. прямих іноземних інвестицій [</w:t>
      </w:r>
      <w:r w:rsidR="00E0217B" w:rsidRPr="00823C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7D4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FE380F" w:rsidRPr="00823C19">
        <w:rPr>
          <w:rFonts w:ascii="Times New Roman" w:hAnsi="Times New Roman" w:cs="Times New Roman"/>
          <w:sz w:val="28"/>
          <w:szCs w:val="28"/>
          <w:lang w:val="uk-UA"/>
        </w:rPr>
        <w:t>При цьому не можна не погодитись із думкою інших дослідників, що вважають такі позиції занадто низькими, адже найближчі сусіди України мають набагато вищий рейтинг. Так, Польща піднялася з 25 на 24 місце, Білорусь із 50 на 37, Молдова із 47 на 44, Грузія з 23 на 16 місце, Російська Федерація втратила свої позиції, але все ж таки має 40 місце</w:t>
      </w:r>
      <w:r w:rsidR="005D5796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0217B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5796" w:rsidRPr="00823C1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E380F" w:rsidRPr="00823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E380F" w:rsidRPr="00823C19">
        <w:rPr>
          <w:b/>
          <w:bCs/>
          <w:sz w:val="28"/>
          <w:szCs w:val="28"/>
          <w:lang w:val="uk-UA"/>
        </w:rPr>
        <w:t xml:space="preserve"> </w:t>
      </w:r>
      <w:r w:rsidR="00FE380F" w:rsidRPr="00823C19">
        <w:rPr>
          <w:rFonts w:ascii="Times New Roman" w:hAnsi="Times New Roman" w:cs="Times New Roman"/>
          <w:sz w:val="28"/>
          <w:szCs w:val="28"/>
          <w:lang w:val="uk-UA"/>
        </w:rPr>
        <w:t>Тобто можемо говорити пр</w:t>
      </w:r>
      <w:r w:rsidR="006E310E" w:rsidRPr="00823C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380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недостатність реформ, що сприяли б спрощенню ведення бізнесу в Україні. </w:t>
      </w:r>
    </w:p>
    <w:p w:rsidR="002F667C" w:rsidRPr="00A75620" w:rsidRDefault="006E310E" w:rsidP="00742665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</w:pPr>
      <w:r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lastRenderedPageBreak/>
        <w:t>В</w:t>
      </w:r>
      <w:r w:rsidR="002F667C"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нутрішній споживчий попит залишився на достатньо високому рівні і протягом останн</w:t>
      </w:r>
      <w:r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іх</w:t>
      </w:r>
      <w:r w:rsidR="002F667C"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рок</w:t>
      </w:r>
      <w:r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ів</w:t>
      </w:r>
      <w:r w:rsidR="002F667C"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виступав основним фактором ділової активності в країні. Позитивний вплив на розвиток споживчого ринку в Україні мало нарощування обсягів сільськогосподарського виробництва. Високі показники виробництва продукції в аграрному секторі сприяли збереженню цінової політики в Україні.</w:t>
      </w:r>
      <w:r w:rsidRPr="00823C19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 Зазначимо також позитивну тенденцію щодо розвитку зовнішньої торгівлі споживчими товарами, зокрема з країнами Західної Європи. Так, у порівнянні з 2015 роком загальний обсяг торгівлі товарами та послугами між Україною та ЄС склав 108,1%. Експорт товарів та послуг до країн ЄС у 2016 році склав 16 448,5 млн. дол. США, імпорт – 19 474,6 млн. дол. США </w:t>
      </w:r>
      <w:r w:rsidRPr="00A7562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[</w:t>
      </w:r>
      <w:r w:rsidR="00BB4017" w:rsidRPr="00A7562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>4</w:t>
      </w:r>
      <w:r w:rsidRPr="00A75620">
        <w:rPr>
          <w:rFonts w:eastAsiaTheme="minorHAnsi"/>
          <w:b w:val="0"/>
          <w:bCs w:val="0"/>
          <w:kern w:val="0"/>
          <w:sz w:val="28"/>
          <w:szCs w:val="28"/>
          <w:lang w:val="uk-UA" w:eastAsia="en-US"/>
        </w:rPr>
        <w:t xml:space="preserve">]. </w:t>
      </w:r>
    </w:p>
    <w:p w:rsidR="0080444F" w:rsidRPr="00823C19" w:rsidRDefault="002F667C" w:rsidP="00BB4017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0444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Досліджуючи економічний розвиток країни, вчені в першу чергу звертають увагу на показники </w:t>
      </w:r>
      <w:r w:rsidR="0059562B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44F" w:rsidRPr="00823C19">
        <w:rPr>
          <w:rFonts w:ascii="Times New Roman" w:hAnsi="Times New Roman" w:cs="Times New Roman"/>
          <w:sz w:val="28"/>
          <w:szCs w:val="28"/>
          <w:lang w:val="uk-UA"/>
        </w:rPr>
        <w:t>економічного зростання: розширення масштабів виробництва, зростання випуску продукції, збільшення національного доходу або валового національного продукту [</w:t>
      </w:r>
      <w:r w:rsidR="00BB4017" w:rsidRPr="00823C19">
        <w:rPr>
          <w:rFonts w:ascii="Times New Roman" w:hAnsi="Times New Roman" w:cs="Times New Roman"/>
          <w:sz w:val="28"/>
          <w:szCs w:val="28"/>
          <w:lang w:val="uk-UA"/>
        </w:rPr>
        <w:t>5-8</w:t>
      </w:r>
      <w:r w:rsidR="0080444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B65D6F" w:rsidRPr="00823C19" w:rsidRDefault="00B65D6F" w:rsidP="00B65D6F">
      <w:pPr>
        <w:tabs>
          <w:tab w:val="left" w:pos="7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Розглянемо динаміку показників валового внутрішнього продукту України (табл. 1)</w:t>
      </w:r>
    </w:p>
    <w:p w:rsidR="00B65D6F" w:rsidRPr="00823C19" w:rsidRDefault="00B65D6F" w:rsidP="00B65D6F">
      <w:pPr>
        <w:tabs>
          <w:tab w:val="left" w:pos="72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B65D6F" w:rsidRPr="00823C19" w:rsidRDefault="00B65D6F" w:rsidP="00BB4017">
      <w:pPr>
        <w:tabs>
          <w:tab w:val="left" w:pos="7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Динаміка ВВП України за період 2002-2016 рр. </w:t>
      </w:r>
    </w:p>
    <w:tbl>
      <w:tblPr>
        <w:tblStyle w:val="a6"/>
        <w:tblW w:w="10374" w:type="dxa"/>
        <w:tblInd w:w="-459" w:type="dxa"/>
        <w:tblLayout w:type="fixed"/>
        <w:tblLook w:val="04A0"/>
      </w:tblPr>
      <w:tblGrid>
        <w:gridCol w:w="567"/>
        <w:gridCol w:w="851"/>
        <w:gridCol w:w="1356"/>
        <w:gridCol w:w="1251"/>
        <w:gridCol w:w="1356"/>
        <w:gridCol w:w="826"/>
        <w:gridCol w:w="1356"/>
        <w:gridCol w:w="1455"/>
        <w:gridCol w:w="1356"/>
      </w:tblGrid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</w:p>
        </w:tc>
        <w:tc>
          <w:tcPr>
            <w:tcW w:w="851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Номінальний ВВП, млн. грн.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Відхилення від попереднього року, %</w:t>
            </w:r>
          </w:p>
        </w:tc>
        <w:tc>
          <w:tcPr>
            <w:tcW w:w="1251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ВВП на душу населення, млн. грн.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Відхилення від попереднього року, %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ВВП, млн. дол. США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Відхилення від попереднього року, %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ВВП на душу населення, млн. дол. США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Відхилення від попереднього року, %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234138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4855</w:t>
            </w:r>
          </w:p>
        </w:tc>
        <w:tc>
          <w:tcPr>
            <w:tcW w:w="1356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42393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879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2003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277355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18,46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5801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19,49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50133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18,26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1048,5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19,28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2004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357544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28,91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7535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29,89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64883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29,42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1367,4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30,41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2005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457325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27,91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9709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28,85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83142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28,14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1828,7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33,74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2006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565018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23,55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12076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24,38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107753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29,60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2303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25,94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751106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32,93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16150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33,74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142719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32,45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3068,6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33,24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990819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31,91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21419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32,63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179992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26,12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3891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26,80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947042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-4,42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20564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-3,99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117228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-34,87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2545,5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-34,58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1079346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13,97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24798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20,59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136419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16,37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2974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16,83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1299991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20,44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29980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20,90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163160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19,60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3570,8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20,07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2012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1404669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8,05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32480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8,34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175781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7,74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3856,8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8,01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1465198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4,31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33965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4,57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183310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4,28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4030,3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4,50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2014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1586915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8,31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36904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8,65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131805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-28,10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3014,6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-25,20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2015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1988544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25,31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46413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25,77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90615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-31,25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2115,4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-29,83</w:t>
            </w:r>
          </w:p>
        </w:tc>
      </w:tr>
      <w:tr w:rsidR="00B65D6F" w:rsidRPr="00823C19" w:rsidTr="00B65D6F">
        <w:trPr>
          <w:trHeight w:val="227"/>
        </w:trPr>
        <w:tc>
          <w:tcPr>
            <w:tcW w:w="567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2016</w:t>
            </w:r>
          </w:p>
        </w:tc>
        <w:tc>
          <w:tcPr>
            <w:tcW w:w="8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2383182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19,85</w:t>
            </w:r>
          </w:p>
        </w:tc>
        <w:tc>
          <w:tcPr>
            <w:tcW w:w="1251" w:type="dxa"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55853,5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20,34</w:t>
            </w:r>
          </w:p>
        </w:tc>
        <w:tc>
          <w:tcPr>
            <w:tcW w:w="82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93270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2,93</w:t>
            </w:r>
          </w:p>
        </w:tc>
        <w:tc>
          <w:tcPr>
            <w:tcW w:w="1455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2185,7</w:t>
            </w:r>
          </w:p>
        </w:tc>
        <w:tc>
          <w:tcPr>
            <w:tcW w:w="1356" w:type="dxa"/>
            <w:noWrap/>
            <w:vAlign w:val="center"/>
            <w:hideMark/>
          </w:tcPr>
          <w:p w:rsidR="00B65D6F" w:rsidRPr="00823C19" w:rsidRDefault="00B65D6F" w:rsidP="00B65D6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3,33</w:t>
            </w:r>
          </w:p>
        </w:tc>
      </w:tr>
    </w:tbl>
    <w:p w:rsidR="00B65D6F" w:rsidRPr="00823C19" w:rsidRDefault="00BB4017" w:rsidP="00B65D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3C19">
        <w:rPr>
          <w:rFonts w:ascii="Times New Roman" w:hAnsi="Times New Roman" w:cs="Times New Roman"/>
          <w:i/>
          <w:sz w:val="24"/>
          <w:szCs w:val="24"/>
          <w:lang w:val="uk-UA"/>
        </w:rPr>
        <w:t>Джерело:</w:t>
      </w:r>
      <w:r w:rsidRPr="00823C19">
        <w:rPr>
          <w:rFonts w:ascii="Times New Roman" w:hAnsi="Times New Roman" w:cs="Times New Roman"/>
          <w:sz w:val="24"/>
          <w:szCs w:val="24"/>
          <w:lang w:val="uk-UA"/>
        </w:rPr>
        <w:t xml:space="preserve"> [</w:t>
      </w:r>
      <w:r w:rsidR="00A03DA2" w:rsidRPr="00823C19">
        <w:rPr>
          <w:rFonts w:ascii="Times New Roman" w:hAnsi="Times New Roman" w:cs="Times New Roman"/>
          <w:sz w:val="24"/>
          <w:szCs w:val="24"/>
          <w:lang w:val="uk-UA"/>
        </w:rPr>
        <w:t>9-</w:t>
      </w:r>
      <w:r w:rsidRPr="00823C19">
        <w:rPr>
          <w:rFonts w:ascii="Times New Roman" w:hAnsi="Times New Roman" w:cs="Times New Roman"/>
          <w:sz w:val="24"/>
          <w:szCs w:val="24"/>
          <w:lang w:val="uk-UA"/>
        </w:rPr>
        <w:t>10]</w:t>
      </w:r>
    </w:p>
    <w:p w:rsidR="00B069E6" w:rsidRPr="00823C19" w:rsidRDefault="00B65D6F" w:rsidP="00804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видно з даних таблиці, зниження абсолютних значень ВВП спостерігаємо лише у 2009 р., натомість у 2015 р. спостерігається його зростання на 25%. Однак значення номінального ВВП не відображають реального стану економіки, оскільки їх зростання може значною мірою бути обумовлене інфляційними коливаннями, як, наприклад, у 2015 р. Тому з метою аналізу показників ВВП нами було використано значення ВВП та ВВП на душу населення у доларах США за даними Світового банку [</w:t>
      </w:r>
      <w:r w:rsidR="00BB4017" w:rsidRPr="00823C1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]. Як видно з даних таблиці, у 2014-2015 рр. спостерігалось значне зниження ВВП та ВВП на душу населення (майже на 30%). У 2016 р. спостерігаємо незначне зростання зазначених показників (2,9% та 3,3% відповідно), однак рівень ВВП залишається нижчим, ніж у 2006 р. </w:t>
      </w:r>
      <w:r w:rsidR="00F93CF4" w:rsidRPr="00823C19">
        <w:rPr>
          <w:rFonts w:ascii="Times New Roman" w:hAnsi="Times New Roman" w:cs="Times New Roman"/>
          <w:sz w:val="28"/>
          <w:szCs w:val="28"/>
          <w:lang w:val="uk-UA"/>
        </w:rPr>
        <w:t>Якщо порівнювати з показниками 2013 р., коли спостерігався найвищий рівень ВВП на душу населення протягом періоду аналізу, Україна за ці роки втратила 8 позицій у рейтингу Світового банку.</w:t>
      </w:r>
    </w:p>
    <w:p w:rsidR="00BB4017" w:rsidRPr="00823C19" w:rsidRDefault="00B5679D" w:rsidP="00804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Проте, як зазначалося вище, такий рівень розвитку економіки пояснюється впливом цілої низки негативних </w:t>
      </w:r>
      <w:r w:rsidR="00B65D6F" w:rsidRPr="00823C19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як об’єктивного, так і суб’єктивного характеру. Нашим завданням є дослідження впливу показників саме споживчого ринку на рівень економічного розвитку України. </w:t>
      </w:r>
    </w:p>
    <w:p w:rsidR="005332A1" w:rsidRPr="00823C19" w:rsidRDefault="005332A1" w:rsidP="00804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Споживчий ринок є сукупністю механізмів для реалізації інтересів споживачів щодо задоволення своїх потреб, а також виробників відповідних товарів та послуг [</w:t>
      </w:r>
      <w:r w:rsidR="00BB4017" w:rsidRPr="00823C19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]. Чим ефективніше будуть функціонувати зазначені механізми, тим вищими темпами розвиватиметься економіка.</w:t>
      </w:r>
    </w:p>
    <w:p w:rsidR="001F63DF" w:rsidRPr="00742A63" w:rsidRDefault="001F63DF" w:rsidP="00804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У першу чергу серед показників функціонування споживчого ринку слід виділити показники торгівлі, зокрема роздрібної, споживчими товарами та послугами. У табл. </w:t>
      </w:r>
      <w:r w:rsidR="00B65D6F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0E76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представлено динаміку показників роздрібної торгівлі за період 2000-2016 рр.</w:t>
      </w:r>
    </w:p>
    <w:p w:rsidR="00EC30A4" w:rsidRPr="00823C19" w:rsidRDefault="00EC30A4" w:rsidP="00EC3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Дані табл. 2 дають підставу говорити про зв'язок показників обсягів торгівлі з рівнем економічного розвитку, оскільки тенденція динаміки даних показників є аналогічною тенденціям показників ВВП та ВВП на душу населення. Як бачимо з таблиці, до 2008 р. спостерігалася тенденція зростання роздрібного товарообороту, у 2009 р. спостерігалось його зниження, далі в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2010-2013 рр. знову бачимо тенденцію його зростання. Протягом 2014-2015 рр. цей показник демонструє значне зниження торгової активності, лише у 2016 р. спостерігаємо її відновлення на 4,5%. Крім того, спостерігаємо стійку тенденцію зниження кількості об’єктів роздрібної торгівлі. </w:t>
      </w:r>
    </w:p>
    <w:p w:rsidR="001F63DF" w:rsidRPr="00823C19" w:rsidRDefault="001F63DF" w:rsidP="001F63D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760E76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D6F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F63DF" w:rsidRPr="00823C19" w:rsidRDefault="001F63DF" w:rsidP="001F63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b/>
          <w:sz w:val="28"/>
          <w:szCs w:val="28"/>
          <w:lang w:val="uk-UA"/>
        </w:rPr>
        <w:t>Основні показники роздрібної торгівлі за 2000-2016 рр.</w:t>
      </w:r>
      <w:r w:rsidR="00512ED0" w:rsidRPr="00823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4857" w:type="pct"/>
        <w:tblLook w:val="04A0"/>
      </w:tblPr>
      <w:tblGrid>
        <w:gridCol w:w="545"/>
        <w:gridCol w:w="1832"/>
        <w:gridCol w:w="2552"/>
        <w:gridCol w:w="1562"/>
        <w:gridCol w:w="1711"/>
        <w:gridCol w:w="1369"/>
      </w:tblGrid>
      <w:tr w:rsidR="00BB4017" w:rsidRPr="00823C19" w:rsidTr="00EC30A4">
        <w:trPr>
          <w:trHeight w:val="253"/>
        </w:trPr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 Рік </w:t>
            </w:r>
          </w:p>
        </w:tc>
        <w:tc>
          <w:tcPr>
            <w:tcW w:w="9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Обсяг роздрібного товарообороту підприємств, млн. грн.</w:t>
            </w:r>
          </w:p>
        </w:tc>
        <w:tc>
          <w:tcPr>
            <w:tcW w:w="1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Індекси фізичного обсягу роздрібного товарообороту підприємств до попереднього року, у порівнянних цінах, %</w:t>
            </w:r>
          </w:p>
        </w:tc>
        <w:tc>
          <w:tcPr>
            <w:tcW w:w="8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Наявність об'єктів роздрібної торгівлі підприємств, тис. од</w:t>
            </w:r>
          </w:p>
        </w:tc>
        <w:tc>
          <w:tcPr>
            <w:tcW w:w="8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Наявність об'єктів ресторанного господарства, тис. од</w:t>
            </w:r>
          </w:p>
        </w:tc>
        <w:tc>
          <w:tcPr>
            <w:tcW w:w="7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Кількість ринків з продажу споживчих товарів року, од</w:t>
            </w:r>
          </w:p>
        </w:tc>
      </w:tr>
      <w:tr w:rsidR="00BB4017" w:rsidRPr="00823C19" w:rsidTr="00EC30A4">
        <w:trPr>
          <w:trHeight w:val="253"/>
        </w:trPr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28757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108,1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103,2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33,1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2514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34417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113,7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96,4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2715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39691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89,3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30,6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2863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49994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120,5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83,8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28,9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2891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67556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121,9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78,5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27,9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2869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94332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123,4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75,2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27,3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2886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129952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126,4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73,6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26,8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2890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178233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129,5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71,9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26,2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2834</w:t>
            </w:r>
          </w:p>
        </w:tc>
      </w:tr>
      <w:tr w:rsidR="00BB4017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246903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117,3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69,2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24,9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2785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2009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230955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79,1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65,3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2761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280890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110,1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64,8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23,4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2758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350059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113,2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64,2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22,9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2698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405114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112,3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62,2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21,6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2647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433081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106,1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59,8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2609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438343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49,6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2177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487558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80,2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49,6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2134</w:t>
            </w:r>
          </w:p>
        </w:tc>
      </w:tr>
      <w:tr w:rsidR="00A03DA2" w:rsidRPr="00823C19" w:rsidTr="00EC30A4">
        <w:trPr>
          <w:trHeight w:val="20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2016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555975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104,5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49,3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017" w:rsidRPr="00823C19" w:rsidRDefault="00BB4017" w:rsidP="00512ED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BB4017" w:rsidRPr="00823C19" w:rsidRDefault="00BB4017" w:rsidP="00BB401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3C19">
        <w:rPr>
          <w:rFonts w:ascii="Times New Roman" w:hAnsi="Times New Roman" w:cs="Times New Roman"/>
          <w:i/>
          <w:sz w:val="24"/>
          <w:szCs w:val="24"/>
          <w:lang w:val="uk-UA"/>
        </w:rPr>
        <w:t>Джерело:</w:t>
      </w:r>
      <w:r w:rsidRPr="00823C19">
        <w:rPr>
          <w:rFonts w:ascii="Times New Roman" w:hAnsi="Times New Roman" w:cs="Times New Roman"/>
          <w:sz w:val="24"/>
          <w:szCs w:val="24"/>
          <w:lang w:val="uk-UA"/>
        </w:rPr>
        <w:t xml:space="preserve"> [10]</w:t>
      </w:r>
    </w:p>
    <w:p w:rsidR="006664C0" w:rsidRPr="00823C19" w:rsidRDefault="006664C0" w:rsidP="008044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Важливим індикатором функціонування споживчого ринку, що відображає економічний розвиток країни, є частка реалізованих товарів на внутрішньому ринку, що вироблені в Україні (табл.</w:t>
      </w:r>
      <w:r w:rsidR="00B65D6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01433" w:rsidRPr="00823C19" w:rsidRDefault="00701433" w:rsidP="007014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A03DA2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701433" w:rsidRPr="00823C19" w:rsidRDefault="00701433" w:rsidP="006664C0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823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Частка продажу споживчих товарів, що вироблені в Україні </w:t>
      </w:r>
    </w:p>
    <w:tbl>
      <w:tblPr>
        <w:tblW w:w="5000" w:type="pct"/>
        <w:tblLook w:val="04A0"/>
      </w:tblPr>
      <w:tblGrid>
        <w:gridCol w:w="2628"/>
        <w:gridCol w:w="724"/>
        <w:gridCol w:w="723"/>
        <w:gridCol w:w="723"/>
        <w:gridCol w:w="723"/>
        <w:gridCol w:w="723"/>
        <w:gridCol w:w="723"/>
        <w:gridCol w:w="723"/>
        <w:gridCol w:w="723"/>
        <w:gridCol w:w="723"/>
        <w:gridCol w:w="717"/>
      </w:tblGrid>
      <w:tr w:rsidR="00701433" w:rsidRPr="00823C19" w:rsidTr="00A03DA2">
        <w:trPr>
          <w:trHeight w:val="300"/>
        </w:trPr>
        <w:tc>
          <w:tcPr>
            <w:tcW w:w="13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Показник</w:t>
            </w:r>
          </w:p>
        </w:tc>
        <w:tc>
          <w:tcPr>
            <w:tcW w:w="366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Частка товарів, %</w:t>
            </w:r>
          </w:p>
        </w:tc>
      </w:tr>
      <w:tr w:rsidR="00701433" w:rsidRPr="00823C19" w:rsidTr="00A03DA2">
        <w:trPr>
          <w:trHeight w:val="300"/>
        </w:trPr>
        <w:tc>
          <w:tcPr>
            <w:tcW w:w="13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2007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2009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2011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2013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2015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2016</w:t>
            </w:r>
          </w:p>
        </w:tc>
      </w:tr>
      <w:tr w:rsidR="00701433" w:rsidRPr="00823C19" w:rsidTr="00A03DA2">
        <w:trPr>
          <w:trHeight w:val="300"/>
        </w:trPr>
        <w:tc>
          <w:tcPr>
            <w:tcW w:w="1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Усі товари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64,5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63,1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67,4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64,3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61,9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58,9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57,2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57,8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58,1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55,8</w:t>
            </w:r>
          </w:p>
        </w:tc>
      </w:tr>
      <w:tr w:rsidR="00701433" w:rsidRPr="00823C19" w:rsidTr="00A03DA2">
        <w:trPr>
          <w:trHeight w:val="300"/>
        </w:trPr>
        <w:tc>
          <w:tcPr>
            <w:tcW w:w="13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Продовольчі товари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88,2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88,2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88,4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88,2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87,2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86,3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85,5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85,6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85,2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84,8</w:t>
            </w:r>
          </w:p>
        </w:tc>
      </w:tr>
      <w:tr w:rsidR="00701433" w:rsidRPr="00823C19" w:rsidTr="00A03DA2">
        <w:trPr>
          <w:trHeight w:val="300"/>
        </w:trPr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1433" w:rsidRPr="00823C19" w:rsidRDefault="00701433" w:rsidP="007014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Непродовольчі товари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52,9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51,2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54,7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50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47,2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41,9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39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39,5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39,3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433" w:rsidRPr="00823C19" w:rsidRDefault="00701433" w:rsidP="007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23C19">
              <w:rPr>
                <w:rFonts w:ascii="Times New Roman" w:eastAsia="Times New Roman" w:hAnsi="Times New Roman" w:cs="Times New Roman"/>
                <w:lang w:val="uk-UA" w:eastAsia="ru-RU"/>
              </w:rPr>
              <w:t>35,6</w:t>
            </w:r>
          </w:p>
        </w:tc>
      </w:tr>
    </w:tbl>
    <w:p w:rsidR="00701433" w:rsidRPr="00823C19" w:rsidRDefault="00A03DA2" w:rsidP="00A03DA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3C19">
        <w:rPr>
          <w:rFonts w:ascii="Times New Roman" w:hAnsi="Times New Roman" w:cs="Times New Roman"/>
          <w:i/>
          <w:sz w:val="24"/>
          <w:szCs w:val="24"/>
          <w:lang w:val="uk-UA"/>
        </w:rPr>
        <w:t>Джерело:</w:t>
      </w:r>
      <w:r w:rsidRPr="00823C19">
        <w:rPr>
          <w:rFonts w:ascii="Times New Roman" w:hAnsi="Times New Roman" w:cs="Times New Roman"/>
          <w:sz w:val="24"/>
          <w:szCs w:val="24"/>
          <w:lang w:val="uk-UA"/>
        </w:rPr>
        <w:t xml:space="preserve"> [10]</w:t>
      </w:r>
    </w:p>
    <w:p w:rsidR="00C150D3" w:rsidRPr="00823C19" w:rsidRDefault="000206D0" w:rsidP="00A03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показують дані таблиці, переважна більшість продовольчих товарів, що реалізуються у торговельних мережах України, вироблені вітчизняними підприємствами. Натомість серед реалізованих непродовольчих товарів менше половини мають українське походження, причому спостерігається тенденція зниження їх частки. </w:t>
      </w:r>
      <w:r w:rsidR="00E75DB3" w:rsidRPr="00823C19">
        <w:rPr>
          <w:rFonts w:ascii="Times New Roman" w:hAnsi="Times New Roman" w:cs="Times New Roman"/>
          <w:sz w:val="28"/>
          <w:szCs w:val="28"/>
          <w:lang w:val="uk-UA"/>
        </w:rPr>
        <w:t>Що стосується продовольчих товарів, то майже за всіма групами частка вироблених в Україні коливається у межах 80-98%. Виключення становлять свіжі плоди, консерви фруктово-ягідні,</w:t>
      </w:r>
      <w:r w:rsidR="000758B2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вина та кава. Серед непродовольчих товарів більше, ніж 50% товарів українського походження займають лише  паперові та канцелярські товари, преса, будівельні матеріали, фармацевтичні та паливно-мастильні товари. </w:t>
      </w:r>
      <w:r w:rsidR="003F45AC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628" w:rsidRPr="00823C19">
        <w:rPr>
          <w:rFonts w:ascii="Times New Roman" w:hAnsi="Times New Roman" w:cs="Times New Roman"/>
          <w:sz w:val="28"/>
          <w:szCs w:val="28"/>
          <w:lang w:val="uk-UA"/>
        </w:rPr>
        <w:t>Менше 10% товарів українського походження у таких групах, як одяг та взуття, автомобілі. Комп’ютери та програмне забезпечення, аудіо та відео обладнання, а також фотографічне устаткування представлені менше ніж 1% товарів українського походження. При цьому відзначимо негативні тенденції щодо зниження частки вітчизняних товарів майже за всіма групами, що є негативним фактором щодо розвитку економіки України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03DA2" w:rsidRPr="00823C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DB0B82" w:rsidRPr="00823C19" w:rsidRDefault="00180D76" w:rsidP="00A03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Наповнення споживчого ринку вітчизняними товарами обумовлюється  рівнем їх виробництва та імпортом. Від обсягів виробництва товарів на вітчизняних підприємствах, а також їх конкурентоспроможності буде залежати і частка реалізованих на внутрішньому ринку вітчизняних товарів. </w:t>
      </w:r>
    </w:p>
    <w:p w:rsidR="00D66B17" w:rsidRPr="00823C19" w:rsidRDefault="00D707F5" w:rsidP="00C1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За даними статистичного спостереження у 2016 р. відбулося зростання виробництва харчових продуктів, напоїв та тютюнових виробів у порівнянні з попереднім роком на 4,4%</w:t>
      </w:r>
      <w:r w:rsidR="00784B5E" w:rsidRPr="00823C19">
        <w:rPr>
          <w:rFonts w:ascii="Times New Roman" w:hAnsi="Times New Roman" w:cs="Times New Roman"/>
          <w:sz w:val="28"/>
          <w:szCs w:val="28"/>
          <w:lang w:val="uk-UA"/>
        </w:rPr>
        <w:t>, у тому числі виробництво м’яса та м’ясних продуктів зросло на 4,5%, перероблення риби – на 15,6%, олії та тваринних жирів – на 16,5%, виробництво цукру – на 36,2%, виробництво напоїв – на 6%. При цьому знизилось виробництво молочних продуктів на 1,4%, виробництво хліба та хлібобулочних виробів – на 2,3%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03DA2" w:rsidRPr="00823C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84B5E" w:rsidRPr="00823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825F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Виробництво товарів легкої промисловості </w:t>
      </w:r>
      <w:r w:rsidR="00D66B17" w:rsidRPr="00823C19">
        <w:rPr>
          <w:rFonts w:ascii="Times New Roman" w:hAnsi="Times New Roman" w:cs="Times New Roman"/>
          <w:sz w:val="28"/>
          <w:szCs w:val="28"/>
          <w:lang w:val="uk-UA"/>
        </w:rPr>
        <w:t>протягом 2013-2015 рр. мало негативну тенденцію, проте вже у 2016 р. спостерігаємо його зростання на 2,2%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03DA2" w:rsidRPr="00823C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66B17" w:rsidRPr="00823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1F6E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66C8" w:rsidRPr="00823C19" w:rsidRDefault="00E84DDF" w:rsidP="00C15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стосується реалізації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за період 2016 року реалізовано промислової продукції на </w:t>
      </w:r>
      <w:r w:rsidR="00313418" w:rsidRPr="00823C19">
        <w:rPr>
          <w:rFonts w:ascii="Times New Roman" w:hAnsi="Times New Roman" w:cs="Times New Roman"/>
          <w:sz w:val="28"/>
          <w:szCs w:val="28"/>
          <w:lang w:val="uk-UA"/>
        </w:rPr>
        <w:t>2128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3418" w:rsidRPr="00823C19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млрд. грн. У загальному обсязі реалізації продукції  найбільша питома вага припадає на виробництво харчових продуктів, напоїв та тютюнових виробів, постачання електроенергії, газу, пари та кондиційованого повітря. </w:t>
      </w:r>
    </w:p>
    <w:p w:rsidR="00304D8F" w:rsidRPr="00823C19" w:rsidRDefault="00304D8F" w:rsidP="00590A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даних 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статистики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порівняно з </w:t>
      </w:r>
      <w:r w:rsidR="00B0528E" w:rsidRPr="00823C19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B0528E" w:rsidRPr="00823C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обсяги реалізованої продукції </w:t>
      </w:r>
      <w:r w:rsidR="00B0528E" w:rsidRPr="00823C19">
        <w:rPr>
          <w:rFonts w:ascii="Times New Roman" w:hAnsi="Times New Roman" w:cs="Times New Roman"/>
          <w:sz w:val="28"/>
          <w:szCs w:val="28"/>
          <w:lang w:val="uk-UA"/>
        </w:rPr>
        <w:t>зросли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0528E" w:rsidRPr="00823C19">
        <w:rPr>
          <w:rFonts w:ascii="Times New Roman" w:hAnsi="Times New Roman" w:cs="Times New Roman"/>
          <w:sz w:val="28"/>
          <w:szCs w:val="28"/>
          <w:lang w:val="uk-UA"/>
        </w:rPr>
        <w:t>19,8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%, у тому числі </w:t>
      </w:r>
      <w:r w:rsidR="00B0528E" w:rsidRPr="00823C19">
        <w:rPr>
          <w:rFonts w:ascii="Times New Roman" w:hAnsi="Times New Roman" w:cs="Times New Roman"/>
          <w:sz w:val="28"/>
          <w:szCs w:val="28"/>
          <w:lang w:val="uk-UA"/>
        </w:rPr>
        <w:t>харчової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промисловості – на </w:t>
      </w:r>
      <w:r w:rsidR="00B0528E" w:rsidRPr="00823C19">
        <w:rPr>
          <w:rFonts w:ascii="Times New Roman" w:hAnsi="Times New Roman" w:cs="Times New Roman"/>
          <w:sz w:val="28"/>
          <w:szCs w:val="28"/>
          <w:lang w:val="uk-UA"/>
        </w:rPr>
        <w:t>15,4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%.  </w:t>
      </w:r>
      <w:r w:rsidR="00590A19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Слід відзначити позитивну тенденцію зростання обсягів реалізації майже за всіма видами продукції. Виняток становить лише виробництво хімічної продукції, де відбулося скорочення обсягів реалізації продукції порівняно з 2015 р. на 11,6%. Відзначаючи тенденцію зростання обсягів реалізованої продукції, слід зважати також на те, що на внутрішньому ринку зростання обсягів реалізації у гривневому еквіваленті значною мірою обумовлено ростом цін. Зокрема, ціни на продукти харчування у 2016 р. зросли на 9%, на одяг та взуття   </w:t>
      </w:r>
      <w:r w:rsidR="00DA2FFD" w:rsidRPr="00823C19">
        <w:rPr>
          <w:rFonts w:ascii="Times New Roman" w:hAnsi="Times New Roman" w:cs="Times New Roman"/>
          <w:sz w:val="28"/>
          <w:szCs w:val="28"/>
          <w:lang w:val="uk-UA"/>
        </w:rPr>
        <w:t>- на 16,1%, житлово-комунальні послуги – на 35%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03DA2" w:rsidRPr="00823C1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DA2FFD" w:rsidRPr="00823C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2FFD" w:rsidRDefault="00DA2FFD" w:rsidP="00590A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Індекс споживчих цін є важливим індикатором для аналізу споживчого ринку та в цілому стану економіки.  </w:t>
      </w:r>
      <w:r w:rsidR="00780B9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Зокрема, якщо розглядати споживчий ринок, високий рівень інфляції знижує купівельну спроможність населення, що, в свою чергу, впливає на рівень реалізації, обсяг товарообороту, прибутковість підприємств, а в подальшому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B9F" w:rsidRPr="00823C19">
        <w:rPr>
          <w:rFonts w:ascii="Times New Roman" w:hAnsi="Times New Roman" w:cs="Times New Roman"/>
          <w:sz w:val="28"/>
          <w:szCs w:val="28"/>
          <w:lang w:val="uk-UA"/>
        </w:rPr>
        <w:t>і на ВВП країни. Для того, щоб пересвідчитись у справедливості цього твердження, проаналізуємо індекси споживчих цін,  обсягу роздрібного товарообороту та ВВП на душу населення в Україні протягом 2003-2016 рр. (рис.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3DA2" w:rsidRPr="00823C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0B9F" w:rsidRPr="00823C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96A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6AC7" w:rsidRPr="00823C19" w:rsidRDefault="00A96AC7" w:rsidP="00A96A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наочно демонструє зворотну залежність між рівнем інфляції та товарооборотом і ВВП на душу населення. Тобто чим вищі темпи інфляції, тим нижчі темпи росту товарообороту, а також ВВП на душу населення. Так, максимальні значення рівня інфляції співпадають з мінімальними значеннями індексів росту роздрібного товарообороту та ВВП на душу населення. Причому якщо у 2009 р. бачимо залежність із лагом в 1 рік, то у 2015 рр. темпи росту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інфляції були настільки стрімкими, що викликали таке ж стрімке падіння товарообороту та ВВП на душу населення.</w:t>
      </w:r>
    </w:p>
    <w:p w:rsidR="00780B9F" w:rsidRPr="00823C19" w:rsidRDefault="00780B9F" w:rsidP="00A96A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noProof/>
          <w:lang w:eastAsia="ru-RU"/>
        </w:rPr>
        <w:drawing>
          <wp:inline distT="0" distB="0" distL="0" distR="0">
            <wp:extent cx="5810250" cy="2057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3DA2" w:rsidRPr="00823C19" w:rsidRDefault="00780B9F" w:rsidP="00780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Індекси споживчих цін</w:t>
      </w:r>
      <w:r w:rsidR="00A77A80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, роздрібного товарообороту та ВВП на душу населення за період </w:t>
      </w:r>
      <w:r w:rsidR="00CF185A" w:rsidRPr="00823C19">
        <w:rPr>
          <w:rFonts w:ascii="Times New Roman" w:hAnsi="Times New Roman" w:cs="Times New Roman"/>
          <w:sz w:val="28"/>
          <w:szCs w:val="28"/>
          <w:lang w:val="uk-UA"/>
        </w:rPr>
        <w:t>2003-2016 рр.</w:t>
      </w:r>
    </w:p>
    <w:p w:rsidR="00590A19" w:rsidRPr="00823C19" w:rsidRDefault="00A03DA2" w:rsidP="00742A6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3C19">
        <w:rPr>
          <w:rFonts w:ascii="Times New Roman" w:hAnsi="Times New Roman" w:cs="Times New Roman"/>
          <w:i/>
          <w:sz w:val="24"/>
          <w:szCs w:val="24"/>
          <w:lang w:val="uk-UA"/>
        </w:rPr>
        <w:t>Джерело</w:t>
      </w:r>
      <w:r w:rsidR="0078571A" w:rsidRPr="00823C19">
        <w:rPr>
          <w:rFonts w:ascii="Times New Roman" w:hAnsi="Times New Roman" w:cs="Times New Roman"/>
          <w:i/>
          <w:sz w:val="24"/>
          <w:szCs w:val="24"/>
          <w:lang w:val="uk-UA"/>
        </w:rPr>
        <w:t>:</w:t>
      </w:r>
      <w:r w:rsidR="00CF185A" w:rsidRPr="00823C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CF185A" w:rsidRPr="00823C19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78571A" w:rsidRPr="00823C19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F185A" w:rsidRPr="00823C19">
        <w:rPr>
          <w:rFonts w:ascii="Times New Roman" w:hAnsi="Times New Roman" w:cs="Times New Roman"/>
          <w:sz w:val="24"/>
          <w:szCs w:val="24"/>
          <w:lang w:val="uk-UA"/>
        </w:rPr>
        <w:t>]</w:t>
      </w:r>
    </w:p>
    <w:p w:rsidR="00EC47F6" w:rsidRPr="00823C19" w:rsidRDefault="00EC47F6" w:rsidP="0058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Ще одним важливим індикатором, що характеризує функціонування споживчого ринку, є </w:t>
      </w:r>
      <w:r w:rsidR="00007507" w:rsidRPr="00823C19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експорту та імпорту споживчих товарів</w:t>
      </w:r>
      <w:r w:rsidR="00007507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(рис.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07507" w:rsidRPr="00823C1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91E2E" w:rsidRPr="00823C19" w:rsidRDefault="00D91E2E" w:rsidP="00D91E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noProof/>
          <w:lang w:eastAsia="ru-RU"/>
        </w:rPr>
        <w:drawing>
          <wp:inline distT="0" distB="0" distL="0" distR="0">
            <wp:extent cx="5810250" cy="27051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571A" w:rsidRPr="00823C19" w:rsidRDefault="00007507" w:rsidP="007857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Динаміка експорту та імпорту споживчих товарів у 2002-2016 рр. </w:t>
      </w:r>
    </w:p>
    <w:p w:rsidR="0078571A" w:rsidRPr="00823C19" w:rsidRDefault="0078571A" w:rsidP="00A96AC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23C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</w:t>
      </w:r>
      <w:r w:rsidRPr="00823C19">
        <w:rPr>
          <w:rFonts w:ascii="Times New Roman" w:hAnsi="Times New Roman" w:cs="Times New Roman"/>
          <w:sz w:val="24"/>
          <w:szCs w:val="24"/>
          <w:lang w:val="uk-UA"/>
        </w:rPr>
        <w:t>[10]</w:t>
      </w:r>
    </w:p>
    <w:p w:rsidR="00007507" w:rsidRPr="00823C19" w:rsidRDefault="00007507" w:rsidP="0058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Як бачимо з рис.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, протягом 2002-2008 рр. активність українських підприємств у зовнішньоекономічній діяльності зростала. Відбувалося зростання обсягів як експорту, так і імпорту споживчих товарів. Однак спостерігаємо негативне сальдо зовнішньоторговельного балансу, причому </w:t>
      </w:r>
      <w:r w:rsidR="00BC7DBF"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розрив між імпортом та експортом поступово збільшується. Протягом 2009-2010 рр.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BC7DB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зниження обороту зовнішньої торгівлі, однак вже у 2011 р. відновлюється </w:t>
      </w:r>
      <w:r w:rsidR="00182012" w:rsidRPr="00823C19">
        <w:rPr>
          <w:rFonts w:ascii="Times New Roman" w:hAnsi="Times New Roman" w:cs="Times New Roman"/>
          <w:sz w:val="28"/>
          <w:szCs w:val="28"/>
          <w:lang w:val="uk-UA"/>
        </w:rPr>
        <w:t>тенденція зростання – обсяг імпорту та експорту досягає свого максимуму за аналізований період. Проте вже у</w:t>
      </w:r>
      <w:r w:rsidR="00B12AB1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2014 р. відбувся значний спад, який продовжується і до сьогодні.</w:t>
      </w:r>
    </w:p>
    <w:p w:rsidR="00B12AB1" w:rsidRPr="00823C19" w:rsidRDefault="00B12AB1" w:rsidP="00584A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Також важливим фактором, що визначає стан споживчого ринку, є рівень доходів населення, а також споживчі витрати. На рис.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бачимо динаміку рівня загальних доходів населення України протягом 2002-2015 рр., а також обсяг споживчих витрат за цей період. </w:t>
      </w:r>
    </w:p>
    <w:p w:rsidR="00584A27" w:rsidRPr="00823C19" w:rsidRDefault="006F3D3A" w:rsidP="00584A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3C19">
        <w:rPr>
          <w:noProof/>
          <w:lang w:eastAsia="ru-RU"/>
        </w:rPr>
        <w:drawing>
          <wp:inline distT="0" distB="0" distL="0" distR="0">
            <wp:extent cx="5472430" cy="2139950"/>
            <wp:effectExtent l="1905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571A" w:rsidRPr="00823C19" w:rsidRDefault="003211C0" w:rsidP="00785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Загальні доходи</w:t>
      </w:r>
      <w:r w:rsidR="001B0B96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та споживчі витрати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в середньому на місяць на одне домогосподарство </w:t>
      </w:r>
    </w:p>
    <w:p w:rsidR="00BD76CF" w:rsidRPr="00823C19" w:rsidRDefault="0078571A" w:rsidP="0078571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23C1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Джерело: </w:t>
      </w:r>
      <w:r w:rsidRPr="00823C19">
        <w:rPr>
          <w:rFonts w:ascii="Times New Roman" w:hAnsi="Times New Roman" w:cs="Times New Roman"/>
          <w:sz w:val="24"/>
          <w:szCs w:val="24"/>
          <w:lang w:val="uk-UA"/>
        </w:rPr>
        <w:t>[10]</w:t>
      </w:r>
    </w:p>
    <w:p w:rsidR="00771FA8" w:rsidRPr="00823C19" w:rsidRDefault="00C74D23" w:rsidP="00823C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Як видно з графіків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у 2002-2004 рр. левова частка загальних доходів домогосподарств витрачалися саме на споживання</w:t>
      </w:r>
      <w:r w:rsidR="008C68A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(70-74%)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, що говорить про досить низький рівень реальних доходів</w:t>
      </w:r>
      <w:r w:rsidR="008C68A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У період 2005-2009 рр. бачимо зростання рівня доходів населення. Споживчі витрати також зростають, проте темпи їх зростання значно нижчі і спостерігається зростання розриву між рівнем доходів та споживчих витрат, що свідчить про підвищення рівня добробуту населення. Унаслідок кризи 2008-2009 рр. спостерігаємо стрімке зростання рівня споживчих витрат, значною мірою обумовлене інфляційною складовою. </w:t>
      </w:r>
      <w:r w:rsidR="008C68AF" w:rsidRPr="00823C1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8AF" w:rsidRPr="00823C19">
        <w:rPr>
          <w:rFonts w:ascii="Times New Roman" w:hAnsi="Times New Roman" w:cs="Times New Roman"/>
          <w:sz w:val="28"/>
          <w:szCs w:val="28"/>
          <w:lang w:val="uk-UA"/>
        </w:rPr>
        <w:t>2015</w:t>
      </w:r>
      <w:r w:rsidR="00F73BDB" w:rsidRPr="00823C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68AF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р. знову спостерігається стрімке зростання рівня споживчих витрат, що обумовлені значними темпами інфляції, причому 90% доходів </w:t>
      </w:r>
      <w:r w:rsidR="008C68AF"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домогосподарств витрачаються саме на споживчі товари і послуги, що є негативним сигналом стосовно реальних доходів та життєвого рівня населення. </w:t>
      </w:r>
      <w:r w:rsidR="00771FA8" w:rsidRPr="00823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Структура економіки України на сучасному етапі значною мірою орієнтована на низькі потреби і відповідно рівень споживання, на це впливає глибока економічна криза, що продовжується в Україні. Низький рівень споживання більшості населення в цих умовах не забезпечує відтворення потреб, що вже були сформовані раніше. Наприклад, вже сформувалась потреба в творчій самостійній праці, а існуючий рівень споживання низький. Тим самим деформується, не відтворюється на належному рівні й потреба в праці такого змісту.</w:t>
      </w:r>
    </w:p>
    <w:p w:rsidR="0078571A" w:rsidRPr="00823C19" w:rsidRDefault="004415AD" w:rsidP="00823C19">
      <w:pPr>
        <w:tabs>
          <w:tab w:val="left" w:pos="72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Отже, незважаючи на наявні позитивні зрушення</w:t>
      </w:r>
      <w:r w:rsidR="00C150D3" w:rsidRPr="00823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споживчий ринок розвивається досить суперечливо, а деякі його негативні тенденції набули стійкого характеру, і по суті, визначають його теперішній стан. </w:t>
      </w:r>
    </w:p>
    <w:p w:rsidR="004415AD" w:rsidRPr="00823C19" w:rsidRDefault="004415AD" w:rsidP="00823C19">
      <w:pPr>
        <w:tabs>
          <w:tab w:val="left" w:pos="72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Як зазначалося вище, </w:t>
      </w:r>
      <w:r w:rsidR="007939B2" w:rsidRPr="00823C19">
        <w:rPr>
          <w:rFonts w:ascii="Times New Roman" w:hAnsi="Times New Roman" w:cs="Times New Roman"/>
          <w:sz w:val="28"/>
          <w:szCs w:val="28"/>
          <w:lang w:val="uk-UA"/>
        </w:rPr>
        <w:t>одним із провідних показників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розвитку країни є ВВП на душу населення</w:t>
      </w:r>
      <w:r w:rsidR="007939B2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та його динаміка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Тому для аналізу впливу </w:t>
      </w:r>
      <w:r w:rsidR="0078571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стану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споживчого ринку на </w:t>
      </w:r>
      <w:r w:rsidR="007B7160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країни пропонуємо здійснити регресійний аналіз впливу рівня основних індикаторів споживчого ринку на рівень ВВП на душу населення. У якості факторів впливу пропонується визначити наступні: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- індекс споживчих цін;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– обсяг роздрібного товарообороту;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3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об’єктів роздрібної торгівлі;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– обсяг продажу споживчих товарів, що вироблені в Україні;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– обсяг експорту споживчих товарів;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6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– обсяг імпорту споживчих товарів;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7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– середньомісячні сукупні споживчі витрати домогосподарств;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8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– дохід домогосподарства в середньому за місяць;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9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– обсяг реалізації споживчих товарів підприємствами України. </w:t>
      </w:r>
    </w:p>
    <w:p w:rsidR="00A91919" w:rsidRPr="00823C19" w:rsidRDefault="004F7554" w:rsidP="00823C19">
      <w:pPr>
        <w:tabs>
          <w:tab w:val="left" w:pos="72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Для відбору показників було здійснено кореляційний аналіз з метою визначення наявності зв’язку між результуючим показником та незалежними змінними. В результаті кореляційного аналізу</w:t>
      </w:r>
      <w:r w:rsidR="007718FD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нами було відібрано фактори, що здійснюють найбільш істотний вплив на результуючий показник.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913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на рівень ВВП на душу населення за результатом кореляційного аналізу </w:t>
      </w:r>
      <w:r w:rsidR="00C21913" w:rsidRPr="00823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статистичних  даних значний вплив здійснюють такі чинники, як обсяг роздрібного товарообороту; частка продажу споживчих товарів, що вироблені в Україні; сукупні споживчі витрати домогосподарства; </w:t>
      </w:r>
      <w:r w:rsidR="00A91919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дохід домогосподарства та </w:t>
      </w:r>
      <w:r w:rsidR="00C21913" w:rsidRPr="00823C19">
        <w:rPr>
          <w:rFonts w:ascii="Times New Roman" w:hAnsi="Times New Roman" w:cs="Times New Roman"/>
          <w:sz w:val="28"/>
          <w:szCs w:val="28"/>
          <w:lang w:val="uk-UA"/>
        </w:rPr>
        <w:t>обсяг реалізації споживчих товарів підприємствами України</w:t>
      </w:r>
      <w:r w:rsidR="00A91919" w:rsidRPr="00823C19">
        <w:rPr>
          <w:rFonts w:ascii="Times New Roman" w:hAnsi="Times New Roman" w:cs="Times New Roman"/>
          <w:sz w:val="28"/>
          <w:szCs w:val="28"/>
          <w:lang w:val="uk-UA"/>
        </w:rPr>
        <w:t>. Всі інші чинники мають в даному випадку незначний  вплив на результуючий показник, тому при здійсненні подальшого аналізу не будуть братись до уваги. Визначення функціональної залежності ВВП на душу населення та рівня впливу вищезазначених чинників (що є параметрами моделі) здійснено шляхом регресійного аналізу за допомогою пакету аналізу даних MS Excel. Отримана функціональна залежність має вигляд (</w:t>
      </w:r>
      <w:r w:rsidR="00E300B6" w:rsidRPr="00823C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91919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):  </w:t>
      </w:r>
    </w:p>
    <w:p w:rsidR="00A91919" w:rsidRPr="00823C19" w:rsidRDefault="00ED3584" w:rsidP="00823C1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у=6,16+0,55х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-1,21х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4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-0,22х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7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+1,3х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8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>+0,52х</w:t>
      </w:r>
      <w:r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9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23C19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>(1)</w:t>
      </w:r>
    </w:p>
    <w:p w:rsidR="00527A8D" w:rsidRPr="00823C19" w:rsidRDefault="00881B48" w:rsidP="00823C1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адекватності знайденого рівняння залежності проаналізуємо основні показники оцінки адекватності. 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Оскільки коефіцієнт детермінації (</w:t>
      </w:r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="006F1C2C" w:rsidRPr="00823C1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0,9985) наближається до одиниці і вищий за нормоване значення (</w:t>
      </w:r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="006F1C2C" w:rsidRPr="00823C19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="006F1C2C"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норм</w:t>
      </w:r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0,9977), варіація залежної змінної у значною мірою визначається варіацією незалежних змінних. Тобто 99% змін показника пояснюється включеними у регресію факторами. Коефіцієнт кореляції (</w:t>
      </w:r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R=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0,9993) також близький до одиниці, тому існує тісний зв’язок усіх незалежних змінних із залежною змінною у. Для отриманої моделі розрахункове значення критерію Фішера (</w:t>
      </w:r>
      <w:proofErr w:type="spellStart"/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="006F1C2C"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розр</w:t>
      </w:r>
      <w:proofErr w:type="spellEnd"/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) становить </w:t>
      </w:r>
      <w:r w:rsidR="00527A8D" w:rsidRPr="00823C19">
        <w:rPr>
          <w:rFonts w:ascii="Times New Roman" w:hAnsi="Times New Roman" w:cs="Times New Roman"/>
          <w:sz w:val="28"/>
          <w:szCs w:val="28"/>
          <w:lang w:val="uk-UA"/>
        </w:rPr>
        <w:t>1211,6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, що більше за критичне значення </w:t>
      </w:r>
      <w:proofErr w:type="spellStart"/>
      <w:r w:rsidR="006F1C2C" w:rsidRPr="00823C19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="006F1C2C" w:rsidRPr="00823C19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табл</w:t>
      </w:r>
      <w:proofErr w:type="spellEnd"/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27A8D" w:rsidRPr="00823C1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27A8D" w:rsidRPr="00823C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;0,05)=</w:t>
      </w:r>
      <w:r w:rsidR="00527A8D" w:rsidRPr="00823C19">
        <w:rPr>
          <w:rFonts w:ascii="Times New Roman" w:hAnsi="Times New Roman" w:cs="Times New Roman"/>
          <w:sz w:val="28"/>
          <w:szCs w:val="28"/>
          <w:lang w:val="uk-UA"/>
        </w:rPr>
        <w:t>3,48</w:t>
      </w:r>
      <w:r w:rsidR="006F1C2C" w:rsidRPr="00823C19">
        <w:rPr>
          <w:rFonts w:ascii="Times New Roman" w:hAnsi="Times New Roman" w:cs="Times New Roman"/>
          <w:sz w:val="28"/>
          <w:szCs w:val="28"/>
          <w:lang w:val="uk-UA"/>
        </w:rPr>
        <w:t>. Отже, знайдене рівняння залежності з імовірністю 95% адекватне вихідним даним.</w:t>
      </w:r>
      <w:r w:rsidR="00527A8D" w:rsidRPr="00823C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7A8D" w:rsidRPr="00823C19" w:rsidRDefault="00527A8D" w:rsidP="00527A8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C19">
        <w:rPr>
          <w:rFonts w:ascii="Times New Roman" w:hAnsi="Times New Roman" w:cs="Times New Roman"/>
          <w:sz w:val="28"/>
          <w:szCs w:val="28"/>
          <w:lang w:val="uk-UA"/>
        </w:rPr>
        <w:t>Можна стверджувати із ймовірністю 95%, що при зростанні роздрібного товарообороту на 1% відбудеться зростання ВВП на душу населення на 0,55%. Зростання частки продажу споживчих товарів, що вироблені в Україні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>, на 1%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знижує  ВВП на душу населення на 1,21%, а 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відповідне 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споживчих витрат населення знижує ВВП на 0,22%. </w:t>
      </w:r>
      <w:r w:rsidRPr="00823C1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23C19">
        <w:rPr>
          <w:rFonts w:ascii="Times New Roman" w:hAnsi="Times New Roman" w:cs="Times New Roman"/>
          <w:sz w:val="28"/>
          <w:szCs w:val="28"/>
        </w:rPr>
        <w:t>збільшенні</w:t>
      </w:r>
      <w:proofErr w:type="spellEnd"/>
      <w:r w:rsidRPr="00823C19">
        <w:rPr>
          <w:rFonts w:ascii="Times New Roman" w:hAnsi="Times New Roman" w:cs="Times New Roman"/>
          <w:sz w:val="28"/>
          <w:szCs w:val="28"/>
        </w:rPr>
        <w:t xml:space="preserve"> 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>доходів домогосподарств</w:t>
      </w:r>
      <w:r w:rsidRPr="00823C19">
        <w:rPr>
          <w:rFonts w:ascii="Times New Roman" w:hAnsi="Times New Roman" w:cs="Times New Roman"/>
          <w:sz w:val="28"/>
          <w:szCs w:val="28"/>
        </w:rPr>
        <w:t xml:space="preserve"> на 1% </w:t>
      </w:r>
      <w:proofErr w:type="spellStart"/>
      <w:r w:rsidRPr="00823C19">
        <w:rPr>
          <w:rFonts w:ascii="Times New Roman" w:hAnsi="Times New Roman" w:cs="Times New Roman"/>
          <w:sz w:val="28"/>
          <w:szCs w:val="28"/>
        </w:rPr>
        <w:t>спостерігатиметься</w:t>
      </w:r>
      <w:proofErr w:type="spellEnd"/>
      <w:r w:rsidRPr="00823C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823C19">
        <w:rPr>
          <w:rFonts w:ascii="Times New Roman" w:hAnsi="Times New Roman" w:cs="Times New Roman"/>
          <w:sz w:val="28"/>
          <w:szCs w:val="28"/>
        </w:rPr>
        <w:t xml:space="preserve"> ВВП на 1,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23C19">
        <w:rPr>
          <w:rFonts w:ascii="Times New Roman" w:hAnsi="Times New Roman" w:cs="Times New Roman"/>
          <w:sz w:val="28"/>
          <w:szCs w:val="28"/>
        </w:rPr>
        <w:t>%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, а зростання обсягів реалізації споживчих товарів </w:t>
      </w:r>
      <w:proofErr w:type="gramStart"/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>ідприємствами України на 1% викличе зростання ВВП на душу населення на 0,52%</w:t>
      </w:r>
      <w:r w:rsidRPr="00823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B7E" w:rsidRPr="00823C19" w:rsidRDefault="00E300B6" w:rsidP="00852B7E">
      <w:pPr>
        <w:tabs>
          <w:tab w:val="num" w:pos="1200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Висновки.</w:t>
      </w:r>
      <w:r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A44B1D" w:rsidRPr="00823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проведені розрахунки свідчать про те, що функціонування споживчого ринку має дуже важливе значення для розвитку економіки</w:t>
      </w:r>
      <w:r w:rsidR="00A44B1D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 країни</w:t>
      </w:r>
      <w:r w:rsidR="005F410A" w:rsidRPr="00823C19">
        <w:rPr>
          <w:rFonts w:ascii="Times New Roman" w:hAnsi="Times New Roman" w:cs="Times New Roman"/>
          <w:sz w:val="28"/>
          <w:szCs w:val="28"/>
          <w:lang w:val="uk-UA"/>
        </w:rPr>
        <w:t xml:space="preserve">. Рівень основних показників економічного розвитку значною мірою залежить від рівня індикаторів споживчого ринку.  </w:t>
      </w:r>
    </w:p>
    <w:p w:rsidR="006F1C2C" w:rsidRPr="00823C19" w:rsidRDefault="00852B7E" w:rsidP="00852B7E">
      <w:pPr>
        <w:tabs>
          <w:tab w:val="num" w:pos="1200"/>
        </w:tabs>
        <w:spacing w:after="0" w:line="360" w:lineRule="auto"/>
        <w:ind w:firstLine="69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3C19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19">
        <w:rPr>
          <w:rFonts w:ascii="Times New Roman" w:eastAsiaTheme="minorHAnsi" w:hAnsi="Times New Roman"/>
          <w:sz w:val="28"/>
          <w:szCs w:val="28"/>
        </w:rPr>
        <w:t xml:space="preserve">Аналіз ефективності монетарної політики Національного банку України [Електронний ресурс]. – Режим доступу: </w:t>
      </w:r>
      <w:hyperlink r:id="rId9" w:history="1">
        <w:r w:rsidRPr="00823C19">
          <w:rPr>
            <w:rFonts w:ascii="Times New Roman" w:eastAsiaTheme="minorHAnsi" w:hAnsi="Times New Roman"/>
            <w:sz w:val="28"/>
            <w:szCs w:val="28"/>
          </w:rPr>
          <w:t>https://feao.org.ua/wp-content/uploads/2016/08/FEAO_Analysis-of-the-NBU-Monetary-Pollicy-Effectiveness_A5_03.pdf</w:t>
        </w:r>
      </w:hyperlink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19">
        <w:rPr>
          <w:rFonts w:ascii="Times New Roman" w:eastAsiaTheme="minorHAnsi" w:hAnsi="Times New Roman"/>
          <w:sz w:val="28"/>
          <w:szCs w:val="28"/>
        </w:rPr>
        <w:t xml:space="preserve">DOING BUSINESS-2017 [Електронний ресурс]. – Режим доступу:  </w:t>
      </w:r>
      <w:hyperlink r:id="rId10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http://www.doingbusiness.org</w:t>
        </w:r>
      </w:hyperlink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19">
        <w:rPr>
          <w:rFonts w:ascii="Times New Roman" w:eastAsiaTheme="minorHAnsi" w:hAnsi="Times New Roman"/>
          <w:sz w:val="28"/>
          <w:szCs w:val="28"/>
        </w:rPr>
        <w:t xml:space="preserve">Признаки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восстановления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украинской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экономики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[Електронний ресурс]. – Режим доступу: </w:t>
      </w:r>
      <w:hyperlink r:id="rId11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http://www.trust.ua/news/143498-priznaki-vosstanovlenia-ukrainskoj-ekonomiki.html</w:t>
        </w:r>
      </w:hyperlink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19">
        <w:rPr>
          <w:rFonts w:ascii="Times New Roman" w:eastAsiaTheme="minorHAnsi" w:hAnsi="Times New Roman"/>
          <w:sz w:val="28"/>
          <w:szCs w:val="28"/>
        </w:rPr>
        <w:t xml:space="preserve">Торговельно-економічне співробітництво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Україна-ЄС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[Електронний ресурс]. – Режим доступу:  </w:t>
      </w:r>
      <w:hyperlink r:id="rId12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http://ukraine-eu.mfa.gov.ua/ua/ukraine-eu/trade-and-economic/ukraine-eu-trade</w:t>
        </w:r>
      </w:hyperlink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Венгер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> В.В. Показники економічного зростання: галузевий аспект / В.В. 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Венгер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> // Причорноморські економічні студії. – 2016. - №7. – С. 33-37.</w:t>
      </w:r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19">
        <w:rPr>
          <w:rFonts w:ascii="Times New Roman" w:eastAsiaTheme="minorHAnsi" w:hAnsi="Times New Roman"/>
          <w:sz w:val="28"/>
          <w:szCs w:val="28"/>
        </w:rPr>
        <w:t>Глуха Г.Я. Система показників економічного зростання/ Г.Я. Глуха // Академічний огляд. – 2013. -№2(39). – С. 5-12.</w:t>
      </w:r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Проданова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Л.В. Економічне зростання й економічний розвиток: методологія і теорія: автореф. дис. д-ра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екон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. наук: 08.00.01 / Л.В.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Проданова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Донец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. нац. ун-т. – Донецьк, 2012. – 36 с. </w:t>
      </w:r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Шумпетер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Й.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Теория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экономического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развития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/ Й.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Шумпетер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. – М.: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Прогресс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>, 1982. – 401 с.</w:t>
      </w:r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Валовой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внутренний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продукт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Украины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[Електронний ресурс] // Фінансовий портал. – Режим доступу: </w:t>
      </w:r>
      <w:hyperlink r:id="rId13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http://index.minfin.com.ua/index/gdp/</w:t>
        </w:r>
      </w:hyperlink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23C19">
        <w:rPr>
          <w:rFonts w:ascii="Times New Roman" w:eastAsiaTheme="minorHAnsi" w:hAnsi="Times New Roman"/>
          <w:sz w:val="28"/>
          <w:szCs w:val="28"/>
        </w:rPr>
        <w:t xml:space="preserve">Державна служба статистики України  [Електронний ресурс]. – Режим доступу: </w:t>
      </w:r>
      <w:hyperlink r:id="rId14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http://www.ukrstat.gov.ua/</w:t>
        </w:r>
      </w:hyperlink>
      <w:r w:rsidRPr="00823C19">
        <w:rPr>
          <w:rFonts w:ascii="Times New Roman" w:eastAsiaTheme="minorHAnsi" w:hAnsi="Times New Roman"/>
          <w:sz w:val="28"/>
          <w:szCs w:val="28"/>
        </w:rPr>
        <w:t xml:space="preserve">; </w:t>
      </w:r>
      <w:hyperlink r:id="rId15" w:tgtFrame="_blank" w:tooltip="открыть в новом окне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http://www.worldbank.org</w:t>
        </w:r>
      </w:hyperlink>
    </w:p>
    <w:p w:rsidR="00852B7E" w:rsidRPr="00823C19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lastRenderedPageBreak/>
        <w:t>The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worldbank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[Електронний ресурс]. – Режим доступу:  </w:t>
      </w:r>
      <w:hyperlink r:id="rId16" w:tgtFrame="_blank" w:tooltip="открыть в новом окне" w:history="1">
        <w:r w:rsidRPr="00823C19">
          <w:rPr>
            <w:rFonts w:ascii="Times New Roman" w:eastAsiaTheme="minorHAnsi" w:hAnsi="Times New Roman"/>
            <w:sz w:val="28"/>
            <w:szCs w:val="28"/>
          </w:rPr>
          <w:t>http://www.worldbank.org</w:t>
        </w:r>
      </w:hyperlink>
    </w:p>
    <w:p w:rsidR="00180A98" w:rsidRDefault="00852B7E" w:rsidP="00823C19">
      <w:pPr>
        <w:pStyle w:val="af3"/>
        <w:numPr>
          <w:ilvl w:val="0"/>
          <w:numId w:val="6"/>
        </w:numPr>
        <w:tabs>
          <w:tab w:val="left" w:pos="426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Яхно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Т. П. Споживчий ринок в опосередкуванні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неоекономічних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процесів відтворення людини та суспільства /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Яхно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Т. П.,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Гусаковська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 xml:space="preserve"> Т. О. // Бізнес </w:t>
      </w:r>
      <w:proofErr w:type="spellStart"/>
      <w:r w:rsidRPr="00823C19">
        <w:rPr>
          <w:rFonts w:ascii="Times New Roman" w:eastAsiaTheme="minorHAnsi" w:hAnsi="Times New Roman"/>
          <w:sz w:val="28"/>
          <w:szCs w:val="28"/>
        </w:rPr>
        <w:t>Інформ</w:t>
      </w:r>
      <w:proofErr w:type="spellEnd"/>
      <w:r w:rsidRPr="00823C19">
        <w:rPr>
          <w:rFonts w:ascii="Times New Roman" w:eastAsiaTheme="minorHAnsi" w:hAnsi="Times New Roman"/>
          <w:sz w:val="28"/>
          <w:szCs w:val="28"/>
        </w:rPr>
        <w:t>. – 2017. – №1. – C. 22–26.</w:t>
      </w:r>
    </w:p>
    <w:p w:rsidR="00A96AC7" w:rsidRDefault="00A96AC7" w:rsidP="00742A63">
      <w:pPr>
        <w:pStyle w:val="af3"/>
        <w:tabs>
          <w:tab w:val="left" w:pos="709"/>
          <w:tab w:val="left" w:pos="1134"/>
        </w:tabs>
        <w:spacing w:after="200" w:line="36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proofErr w:type="spellStart"/>
      <w:r w:rsidRPr="00C01D6B">
        <w:rPr>
          <w:rFonts w:ascii="Times New Roman" w:eastAsiaTheme="minorHAnsi" w:hAnsi="Times New Roman"/>
          <w:b/>
          <w:sz w:val="28"/>
          <w:szCs w:val="28"/>
        </w:rPr>
        <w:t>Яхно</w:t>
      </w:r>
      <w:proofErr w:type="spellEnd"/>
      <w:r w:rsidRPr="00C01D6B">
        <w:rPr>
          <w:rFonts w:ascii="Times New Roman" w:eastAsiaTheme="minorHAnsi" w:hAnsi="Times New Roman"/>
          <w:b/>
          <w:sz w:val="28"/>
          <w:szCs w:val="28"/>
        </w:rPr>
        <w:t> Т</w:t>
      </w:r>
      <w:r w:rsidR="00C01D6B" w:rsidRPr="00C01D6B">
        <w:rPr>
          <w:rFonts w:ascii="Times New Roman" w:eastAsiaTheme="minorHAnsi" w:hAnsi="Times New Roman"/>
          <w:b/>
          <w:sz w:val="28"/>
          <w:szCs w:val="28"/>
          <w:lang w:val="ru-RU"/>
        </w:rPr>
        <w:t>.</w:t>
      </w:r>
      <w:r w:rsidRPr="00C01D6B">
        <w:rPr>
          <w:rFonts w:ascii="Times New Roman" w:eastAsiaTheme="minorHAnsi" w:hAnsi="Times New Roman"/>
          <w:b/>
          <w:sz w:val="28"/>
          <w:szCs w:val="28"/>
        </w:rPr>
        <w:t xml:space="preserve">П., </w:t>
      </w:r>
      <w:proofErr w:type="spellStart"/>
      <w:r w:rsidRPr="00C01D6B">
        <w:rPr>
          <w:rFonts w:ascii="Times New Roman" w:eastAsiaTheme="minorHAnsi" w:hAnsi="Times New Roman"/>
          <w:b/>
          <w:sz w:val="28"/>
          <w:szCs w:val="28"/>
        </w:rPr>
        <w:t>Гусаковс</w:t>
      </w:r>
      <w:r w:rsidRPr="00C01D6B">
        <w:rPr>
          <w:rFonts w:ascii="Times New Roman" w:eastAsiaTheme="minorHAnsi" w:hAnsi="Times New Roman"/>
          <w:b/>
          <w:sz w:val="28"/>
          <w:szCs w:val="28"/>
          <w:lang w:val="ru-RU"/>
        </w:rPr>
        <w:t>кая</w:t>
      </w:r>
      <w:proofErr w:type="spellEnd"/>
      <w:r w:rsidRPr="00C01D6B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 Т.А. Определение уровня </w:t>
      </w:r>
      <w:r w:rsidR="00C01D6B" w:rsidRPr="00C01D6B">
        <w:rPr>
          <w:rFonts w:ascii="Times New Roman" w:eastAsiaTheme="minorHAnsi" w:hAnsi="Times New Roman"/>
          <w:b/>
          <w:sz w:val="28"/>
          <w:szCs w:val="28"/>
          <w:lang w:val="ru-RU"/>
        </w:rPr>
        <w:t>экономического развития Украины по показателям состояния потребительского рынка</w:t>
      </w:r>
    </w:p>
    <w:p w:rsidR="00C01D6B" w:rsidRPr="00C01D6B" w:rsidRDefault="00C01D6B" w:rsidP="00742A63">
      <w:pPr>
        <w:pStyle w:val="af3"/>
        <w:tabs>
          <w:tab w:val="left" w:pos="284"/>
          <w:tab w:val="left" w:pos="1134"/>
        </w:tabs>
        <w:spacing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Аннотация. </w:t>
      </w:r>
      <w:r w:rsidRPr="00C01D6B">
        <w:rPr>
          <w:rFonts w:ascii="Times New Roman" w:eastAsiaTheme="minorHAnsi" w:hAnsi="Times New Roman"/>
          <w:sz w:val="28"/>
          <w:szCs w:val="28"/>
          <w:lang w:val="ru-RU"/>
        </w:rPr>
        <w:t xml:space="preserve">В статье проведен анализ показателей экономического развития Украины. Исследованы основные индикаторы состояния потребительского рынка и их взаимосвязь с динамикой показателей экономического развития. Доказано, что функционирование потребительского рынка имеет </w:t>
      </w:r>
      <w:proofErr w:type="gramStart"/>
      <w:r w:rsidRPr="00C01D6B">
        <w:rPr>
          <w:rFonts w:ascii="Times New Roman" w:eastAsiaTheme="minorHAnsi" w:hAnsi="Times New Roman"/>
          <w:sz w:val="28"/>
          <w:szCs w:val="28"/>
          <w:lang w:val="ru-RU"/>
        </w:rPr>
        <w:t>важное значение</w:t>
      </w:r>
      <w:proofErr w:type="gramEnd"/>
      <w:r w:rsidRPr="00C01D6B">
        <w:rPr>
          <w:rFonts w:ascii="Times New Roman" w:eastAsiaTheme="minorHAnsi" w:hAnsi="Times New Roman"/>
          <w:sz w:val="28"/>
          <w:szCs w:val="28"/>
          <w:lang w:val="ru-RU"/>
        </w:rPr>
        <w:t xml:space="preserve"> для развития экономики страны, а уровень основных показателей экономического развития в значительной степени зависит от уровня индикаторов потребительского рынка.</w:t>
      </w:r>
    </w:p>
    <w:p w:rsidR="00C01D6B" w:rsidRDefault="00C01D6B" w:rsidP="00742A63">
      <w:pPr>
        <w:pStyle w:val="af3"/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C01D6B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Ключевые слова: </w:t>
      </w:r>
      <w:r w:rsidRPr="00C01D6B">
        <w:rPr>
          <w:rFonts w:ascii="Times New Roman" w:eastAsiaTheme="minorHAnsi" w:hAnsi="Times New Roman"/>
          <w:sz w:val="28"/>
          <w:szCs w:val="28"/>
          <w:lang w:val="ru-RU"/>
        </w:rPr>
        <w:t>экономическое развитие, потребительский рынок, валовой внутренний продукт, потребительские товары, объем розничного товарооборота, потребительские расходы домохозяйства, доход домохозяйства</w:t>
      </w:r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C01D6B" w:rsidRDefault="00C01D6B" w:rsidP="00742A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01D6B">
        <w:rPr>
          <w:rFonts w:ascii="Times New Roman" w:hAnsi="Times New Roman"/>
          <w:b/>
          <w:sz w:val="28"/>
          <w:szCs w:val="28"/>
          <w:lang w:val="uk-UA"/>
        </w:rPr>
        <w:t>Yahno</w:t>
      </w:r>
      <w:proofErr w:type="spellEnd"/>
      <w:r w:rsidRPr="00C01D6B">
        <w:rPr>
          <w:rFonts w:ascii="Times New Roman" w:hAnsi="Times New Roman"/>
          <w:b/>
          <w:sz w:val="28"/>
          <w:szCs w:val="28"/>
          <w:lang w:val="uk-UA"/>
        </w:rPr>
        <w:t xml:space="preserve"> T.</w:t>
      </w:r>
      <w:r w:rsidRPr="00C01D6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C01D6B">
        <w:rPr>
          <w:rFonts w:ascii="Times New Roman" w:hAnsi="Times New Roman"/>
          <w:b/>
          <w:sz w:val="28"/>
          <w:szCs w:val="28"/>
          <w:lang w:val="uk-UA"/>
        </w:rPr>
        <w:t xml:space="preserve">P., </w:t>
      </w:r>
      <w:proofErr w:type="spellStart"/>
      <w:r w:rsidRPr="00C01D6B">
        <w:rPr>
          <w:rFonts w:ascii="Times New Roman" w:hAnsi="Times New Roman"/>
          <w:b/>
          <w:sz w:val="28"/>
          <w:szCs w:val="28"/>
          <w:lang w:val="uk-UA"/>
        </w:rPr>
        <w:t>Husakovska</w:t>
      </w:r>
      <w:proofErr w:type="spellEnd"/>
      <w:r w:rsidRPr="00C01D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01D6B">
        <w:rPr>
          <w:rFonts w:ascii="Times New Roman" w:hAnsi="Times New Roman"/>
          <w:b/>
          <w:sz w:val="28"/>
          <w:szCs w:val="28"/>
          <w:lang w:val="en-US"/>
        </w:rPr>
        <w:t>T</w:t>
      </w:r>
      <w:r w:rsidRPr="00C01D6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C01D6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01D6B">
        <w:rPr>
          <w:rFonts w:ascii="Times New Roman" w:hAnsi="Times New Roman"/>
          <w:b/>
          <w:sz w:val="28"/>
          <w:szCs w:val="28"/>
          <w:lang w:val="uk-UA"/>
        </w:rPr>
        <w:t>.</w:t>
      </w:r>
      <w:r w:rsidR="00742A6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>Determination</w:t>
      </w:r>
      <w:proofErr w:type="spellEnd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>level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3956F0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economic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development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Ukraine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according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to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state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consumer</w:t>
      </w:r>
      <w:proofErr w:type="spellEnd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742A63" w:rsidRPr="00974053">
        <w:rPr>
          <w:rFonts w:ascii="Times New Roman" w:hAnsi="Times New Roman" w:cs="Times New Roman"/>
          <w:b/>
          <w:bCs/>
          <w:sz w:val="28"/>
          <w:szCs w:val="28"/>
          <w:lang w:val="uk-UA"/>
        </w:rPr>
        <w:t>market</w:t>
      </w:r>
      <w:proofErr w:type="spellEnd"/>
    </w:p>
    <w:p w:rsidR="00742A63" w:rsidRPr="00742A63" w:rsidRDefault="00742A63" w:rsidP="00742A63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2A63">
        <w:rPr>
          <w:rFonts w:ascii="Times New Roman" w:hAnsi="Times New Roman" w:cs="Times New Roman"/>
          <w:b/>
          <w:bCs/>
          <w:sz w:val="28"/>
          <w:szCs w:val="28"/>
          <w:lang w:val="uk-UA"/>
        </w:rPr>
        <w:t>Summary</w:t>
      </w:r>
      <w:proofErr w:type="spellEnd"/>
      <w:r w:rsidRPr="00742A6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742A63">
        <w:rPr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Th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reviews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indicators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of economic development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. Main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indicators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consumer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market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and their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relation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to trends in </w:t>
      </w:r>
      <w:hyperlink r:id="rId17" w:history="1">
        <w:proofErr w:type="spellStart"/>
        <w:r w:rsidRPr="00742A63">
          <w:rPr>
            <w:rFonts w:ascii="Times New Roman" w:hAnsi="Times New Roman" w:cs="Times New Roman"/>
            <w:sz w:val="28"/>
            <w:szCs w:val="28"/>
            <w:lang w:val="uk-UA"/>
          </w:rPr>
          <w:t>economic</w:t>
        </w:r>
        <w:proofErr w:type="spellEnd"/>
        <w:r w:rsidRPr="00742A63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742A63">
          <w:rPr>
            <w:rFonts w:ascii="Times New Roman" w:hAnsi="Times New Roman" w:cs="Times New Roman"/>
            <w:sz w:val="28"/>
            <w:szCs w:val="28"/>
            <w:lang w:val="uk-UA"/>
          </w:rPr>
          <w:t>development</w:t>
        </w:r>
        <w:proofErr w:type="spellEnd"/>
        <w:r w:rsidRPr="00742A63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742A63">
          <w:rPr>
            <w:rFonts w:ascii="Times New Roman" w:hAnsi="Times New Roman" w:cs="Times New Roman"/>
            <w:sz w:val="28"/>
            <w:szCs w:val="28"/>
            <w:lang w:val="uk-UA"/>
          </w:rPr>
          <w:t>indicators</w:t>
        </w:r>
        <w:proofErr w:type="spellEnd"/>
      </w:hyperlink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are examined. It is proved that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consumer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market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performance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is important for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of the country and the level of main economic development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indicators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largely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dependent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consumer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market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main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indicators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2A63" w:rsidRPr="00742A63" w:rsidRDefault="00742A63" w:rsidP="00742A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2A63">
        <w:rPr>
          <w:rFonts w:ascii="Times New Roman" w:hAnsi="Times New Roman" w:cs="Times New Roman"/>
          <w:b/>
          <w:bCs/>
          <w:sz w:val="28"/>
          <w:szCs w:val="28"/>
          <w:lang w:val="uk-UA"/>
        </w:rPr>
        <w:t>Keywords</w:t>
      </w:r>
      <w:proofErr w:type="spellEnd"/>
      <w:r w:rsidRPr="00742A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consumer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market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gross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domestic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consumer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goods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retail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trade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consumption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expenditure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household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household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2A63">
        <w:rPr>
          <w:rFonts w:ascii="Times New Roman" w:hAnsi="Times New Roman" w:cs="Times New Roman"/>
          <w:sz w:val="28"/>
          <w:szCs w:val="28"/>
          <w:lang w:val="uk-UA"/>
        </w:rPr>
        <w:t>income</w:t>
      </w:r>
      <w:proofErr w:type="spellEnd"/>
      <w:r w:rsidRPr="00742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A63" w:rsidRPr="00742A63" w:rsidRDefault="00742A63" w:rsidP="00C01D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742A63" w:rsidRPr="00742A63" w:rsidSect="00B278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9B3"/>
    <w:multiLevelType w:val="hybridMultilevel"/>
    <w:tmpl w:val="33CA5DD4"/>
    <w:lvl w:ilvl="0" w:tplc="04190011">
      <w:start w:val="1"/>
      <w:numFmt w:val="decimal"/>
      <w:lvlText w:val="%1)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>
    <w:nsid w:val="538E4504"/>
    <w:multiLevelType w:val="hybridMultilevel"/>
    <w:tmpl w:val="FF8AF374"/>
    <w:lvl w:ilvl="0" w:tplc="8630505A">
      <w:start w:val="1"/>
      <w:numFmt w:val="bullet"/>
      <w:lvlText w:val=""/>
      <w:lvlJc w:val="left"/>
      <w:pPr>
        <w:tabs>
          <w:tab w:val="num" w:pos="1400"/>
        </w:tabs>
        <w:ind w:left="1400" w:hanging="113"/>
      </w:pPr>
      <w:rPr>
        <w:rFonts w:ascii="Symbol" w:hAnsi="Symbol" w:hint="default"/>
      </w:rPr>
    </w:lvl>
    <w:lvl w:ilvl="1" w:tplc="5C4889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902E4E"/>
    <w:multiLevelType w:val="hybridMultilevel"/>
    <w:tmpl w:val="26063274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72F1699B"/>
    <w:multiLevelType w:val="hybridMultilevel"/>
    <w:tmpl w:val="5240CE58"/>
    <w:lvl w:ilvl="0" w:tplc="8630505A">
      <w:start w:val="1"/>
      <w:numFmt w:val="bullet"/>
      <w:lvlText w:val=""/>
      <w:lvlJc w:val="left"/>
      <w:pPr>
        <w:tabs>
          <w:tab w:val="num" w:pos="1400"/>
        </w:tabs>
        <w:ind w:left="1400" w:hanging="113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C437A7E"/>
    <w:multiLevelType w:val="hybridMultilevel"/>
    <w:tmpl w:val="1A1C222A"/>
    <w:lvl w:ilvl="0" w:tplc="FE188F60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654879"/>
    <w:multiLevelType w:val="hybridMultilevel"/>
    <w:tmpl w:val="F1F8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7995"/>
    <w:rsid w:val="00000150"/>
    <w:rsid w:val="00007507"/>
    <w:rsid w:val="000206D0"/>
    <w:rsid w:val="00070A39"/>
    <w:rsid w:val="000758B2"/>
    <w:rsid w:val="000825FF"/>
    <w:rsid w:val="00095D88"/>
    <w:rsid w:val="000A475D"/>
    <w:rsid w:val="000F036C"/>
    <w:rsid w:val="00115F6A"/>
    <w:rsid w:val="00127927"/>
    <w:rsid w:val="00155505"/>
    <w:rsid w:val="00161A09"/>
    <w:rsid w:val="00167693"/>
    <w:rsid w:val="00167846"/>
    <w:rsid w:val="00180A98"/>
    <w:rsid w:val="00180D76"/>
    <w:rsid w:val="00181B84"/>
    <w:rsid w:val="00182012"/>
    <w:rsid w:val="00193B95"/>
    <w:rsid w:val="00195F2A"/>
    <w:rsid w:val="001B0B96"/>
    <w:rsid w:val="001B3BAC"/>
    <w:rsid w:val="001B65A3"/>
    <w:rsid w:val="001B7C38"/>
    <w:rsid w:val="001C1FD9"/>
    <w:rsid w:val="001C66C8"/>
    <w:rsid w:val="001D67DA"/>
    <w:rsid w:val="001E31AC"/>
    <w:rsid w:val="001F4631"/>
    <w:rsid w:val="001F63DF"/>
    <w:rsid w:val="001F72BE"/>
    <w:rsid w:val="00254F38"/>
    <w:rsid w:val="002E0CEE"/>
    <w:rsid w:val="002E0D33"/>
    <w:rsid w:val="002F667C"/>
    <w:rsid w:val="00300F91"/>
    <w:rsid w:val="00304D8F"/>
    <w:rsid w:val="00313418"/>
    <w:rsid w:val="003211C0"/>
    <w:rsid w:val="0037664D"/>
    <w:rsid w:val="00380E45"/>
    <w:rsid w:val="0038475F"/>
    <w:rsid w:val="003932B2"/>
    <w:rsid w:val="003A2F57"/>
    <w:rsid w:val="003F45AC"/>
    <w:rsid w:val="00414C86"/>
    <w:rsid w:val="004415AD"/>
    <w:rsid w:val="00490434"/>
    <w:rsid w:val="004962B8"/>
    <w:rsid w:val="004B2D2F"/>
    <w:rsid w:val="004C4933"/>
    <w:rsid w:val="004F7554"/>
    <w:rsid w:val="00500E4D"/>
    <w:rsid w:val="00512ED0"/>
    <w:rsid w:val="00520D2B"/>
    <w:rsid w:val="00527A8D"/>
    <w:rsid w:val="005332A1"/>
    <w:rsid w:val="00583650"/>
    <w:rsid w:val="00584A27"/>
    <w:rsid w:val="00590A19"/>
    <w:rsid w:val="0059562B"/>
    <w:rsid w:val="005C5A9D"/>
    <w:rsid w:val="005D5796"/>
    <w:rsid w:val="005E5154"/>
    <w:rsid w:val="005F410A"/>
    <w:rsid w:val="005F6710"/>
    <w:rsid w:val="00640359"/>
    <w:rsid w:val="006664C0"/>
    <w:rsid w:val="00696038"/>
    <w:rsid w:val="006B7D2D"/>
    <w:rsid w:val="006E310E"/>
    <w:rsid w:val="006F1C2C"/>
    <w:rsid w:val="006F3D3A"/>
    <w:rsid w:val="00701433"/>
    <w:rsid w:val="00732A02"/>
    <w:rsid w:val="00742665"/>
    <w:rsid w:val="00742A63"/>
    <w:rsid w:val="00760E76"/>
    <w:rsid w:val="007718FD"/>
    <w:rsid w:val="00771FA8"/>
    <w:rsid w:val="00780B9F"/>
    <w:rsid w:val="00781C25"/>
    <w:rsid w:val="00782731"/>
    <w:rsid w:val="00784B5E"/>
    <w:rsid w:val="0078571A"/>
    <w:rsid w:val="007939B2"/>
    <w:rsid w:val="007A7D4F"/>
    <w:rsid w:val="007B7160"/>
    <w:rsid w:val="007C3DFA"/>
    <w:rsid w:val="007F4E4D"/>
    <w:rsid w:val="0080444F"/>
    <w:rsid w:val="00823C19"/>
    <w:rsid w:val="0083615B"/>
    <w:rsid w:val="00846272"/>
    <w:rsid w:val="00852AAB"/>
    <w:rsid w:val="00852B7E"/>
    <w:rsid w:val="00853796"/>
    <w:rsid w:val="00867995"/>
    <w:rsid w:val="00881B48"/>
    <w:rsid w:val="008B3D34"/>
    <w:rsid w:val="008C68AF"/>
    <w:rsid w:val="00934792"/>
    <w:rsid w:val="009724E4"/>
    <w:rsid w:val="00984866"/>
    <w:rsid w:val="00991628"/>
    <w:rsid w:val="009C5438"/>
    <w:rsid w:val="009C6637"/>
    <w:rsid w:val="009D1F6E"/>
    <w:rsid w:val="009D69BC"/>
    <w:rsid w:val="009E1E42"/>
    <w:rsid w:val="00A03DA2"/>
    <w:rsid w:val="00A169C6"/>
    <w:rsid w:val="00A3157D"/>
    <w:rsid w:val="00A44B1D"/>
    <w:rsid w:val="00A5773C"/>
    <w:rsid w:val="00A75620"/>
    <w:rsid w:val="00A77A80"/>
    <w:rsid w:val="00A91919"/>
    <w:rsid w:val="00A96AC7"/>
    <w:rsid w:val="00AA1DA2"/>
    <w:rsid w:val="00AF0648"/>
    <w:rsid w:val="00B0528E"/>
    <w:rsid w:val="00B069E6"/>
    <w:rsid w:val="00B12AB1"/>
    <w:rsid w:val="00B27833"/>
    <w:rsid w:val="00B44EC1"/>
    <w:rsid w:val="00B5679D"/>
    <w:rsid w:val="00B65D6F"/>
    <w:rsid w:val="00B91642"/>
    <w:rsid w:val="00BB4017"/>
    <w:rsid w:val="00BC7DBF"/>
    <w:rsid w:val="00BD76CF"/>
    <w:rsid w:val="00BF655A"/>
    <w:rsid w:val="00C01D6B"/>
    <w:rsid w:val="00C150D3"/>
    <w:rsid w:val="00C21913"/>
    <w:rsid w:val="00C74D23"/>
    <w:rsid w:val="00C80CC4"/>
    <w:rsid w:val="00C923C4"/>
    <w:rsid w:val="00CC4E19"/>
    <w:rsid w:val="00CD79E5"/>
    <w:rsid w:val="00CF185A"/>
    <w:rsid w:val="00D06DB2"/>
    <w:rsid w:val="00D138E7"/>
    <w:rsid w:val="00D2007F"/>
    <w:rsid w:val="00D66B17"/>
    <w:rsid w:val="00D707F5"/>
    <w:rsid w:val="00D90DEC"/>
    <w:rsid w:val="00D91E2E"/>
    <w:rsid w:val="00DA2FFD"/>
    <w:rsid w:val="00DB0B82"/>
    <w:rsid w:val="00DB512F"/>
    <w:rsid w:val="00DF39E9"/>
    <w:rsid w:val="00E0217B"/>
    <w:rsid w:val="00E046BE"/>
    <w:rsid w:val="00E300B6"/>
    <w:rsid w:val="00E45D99"/>
    <w:rsid w:val="00E67CB0"/>
    <w:rsid w:val="00E75DB3"/>
    <w:rsid w:val="00E84DDF"/>
    <w:rsid w:val="00EC30A4"/>
    <w:rsid w:val="00EC47F6"/>
    <w:rsid w:val="00ED3584"/>
    <w:rsid w:val="00EE31AE"/>
    <w:rsid w:val="00EE4DF0"/>
    <w:rsid w:val="00F03F26"/>
    <w:rsid w:val="00F17B95"/>
    <w:rsid w:val="00F3054C"/>
    <w:rsid w:val="00F6330D"/>
    <w:rsid w:val="00F73BDB"/>
    <w:rsid w:val="00F93CF4"/>
    <w:rsid w:val="00FE380F"/>
    <w:rsid w:val="00FE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99"/>
  </w:style>
  <w:style w:type="paragraph" w:styleId="1">
    <w:name w:val="heading 1"/>
    <w:basedOn w:val="a"/>
    <w:link w:val="10"/>
    <w:uiPriority w:val="9"/>
    <w:qFormat/>
    <w:rsid w:val="007A7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44F"/>
    <w:rPr>
      <w:b/>
      <w:bCs/>
    </w:rPr>
  </w:style>
  <w:style w:type="character" w:customStyle="1" w:styleId="apple-converted-space">
    <w:name w:val="apple-converted-space"/>
    <w:basedOn w:val="a0"/>
    <w:rsid w:val="0080444F"/>
  </w:style>
  <w:style w:type="character" w:styleId="a5">
    <w:name w:val="Hyperlink"/>
    <w:basedOn w:val="a0"/>
    <w:uiPriority w:val="99"/>
    <w:unhideWhenUsed/>
    <w:rsid w:val="00852A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5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CE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0B9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F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410A"/>
  </w:style>
  <w:style w:type="paragraph" w:styleId="ac">
    <w:name w:val="footer"/>
    <w:basedOn w:val="a"/>
    <w:link w:val="ad"/>
    <w:uiPriority w:val="99"/>
    <w:unhideWhenUsed/>
    <w:rsid w:val="005F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410A"/>
  </w:style>
  <w:style w:type="paragraph" w:customStyle="1" w:styleId="ae">
    <w:name w:val="Знак Знак"/>
    <w:basedOn w:val="a"/>
    <w:rsid w:val="005F41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Текст сноски Знак"/>
    <w:basedOn w:val="a0"/>
    <w:link w:val="af0"/>
    <w:semiHidden/>
    <w:rsid w:val="005F41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footnote text"/>
    <w:basedOn w:val="a"/>
    <w:link w:val="af"/>
    <w:semiHidden/>
    <w:rsid w:val="005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Body Text Indent"/>
    <w:basedOn w:val="a"/>
    <w:link w:val="af2"/>
    <w:rsid w:val="005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2">
    <w:name w:val="Основной текст с отступом Знак"/>
    <w:basedOn w:val="a0"/>
    <w:link w:val="af1"/>
    <w:rsid w:val="005F4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3">
    <w:name w:val="List Paragraph"/>
    <w:basedOn w:val="a"/>
    <w:uiPriority w:val="34"/>
    <w:qFormat/>
    <w:rsid w:val="005F410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7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D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44F"/>
    <w:rPr>
      <w:b/>
      <w:bCs/>
    </w:rPr>
  </w:style>
  <w:style w:type="character" w:customStyle="1" w:styleId="apple-converted-space">
    <w:name w:val="apple-converted-space"/>
    <w:basedOn w:val="a0"/>
    <w:rsid w:val="0080444F"/>
  </w:style>
  <w:style w:type="character" w:styleId="a5">
    <w:name w:val="Hyperlink"/>
    <w:basedOn w:val="a0"/>
    <w:uiPriority w:val="99"/>
    <w:unhideWhenUsed/>
    <w:rsid w:val="00852AA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57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CE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80B9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F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410A"/>
  </w:style>
  <w:style w:type="paragraph" w:styleId="ac">
    <w:name w:val="footer"/>
    <w:basedOn w:val="a"/>
    <w:link w:val="ad"/>
    <w:uiPriority w:val="99"/>
    <w:unhideWhenUsed/>
    <w:rsid w:val="005F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410A"/>
  </w:style>
  <w:style w:type="paragraph" w:customStyle="1" w:styleId="ae">
    <w:name w:val="Знак Знак"/>
    <w:basedOn w:val="a"/>
    <w:rsid w:val="005F41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">
    <w:name w:val="Текст сноски Знак"/>
    <w:basedOn w:val="a0"/>
    <w:link w:val="af0"/>
    <w:semiHidden/>
    <w:rsid w:val="005F41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0">
    <w:name w:val="footnote text"/>
    <w:basedOn w:val="a"/>
    <w:link w:val="af"/>
    <w:semiHidden/>
    <w:rsid w:val="005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Body Text Indent"/>
    <w:basedOn w:val="a"/>
    <w:link w:val="af2"/>
    <w:rsid w:val="005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2">
    <w:name w:val="Основной текст с отступом Знак"/>
    <w:basedOn w:val="a0"/>
    <w:link w:val="af1"/>
    <w:rsid w:val="005F41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3">
    <w:name w:val="List Paragraph"/>
    <w:basedOn w:val="a"/>
    <w:uiPriority w:val="34"/>
    <w:qFormat/>
    <w:rsid w:val="005F410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://index.minfin.com.ua/index/gdp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://ukraine-eu.mfa.gov.ua/ua/ukraine-eu/trade-and-economic/ukraine-eu-trade" TargetMode="External"/><Relationship Id="rId17" Type="http://schemas.openxmlformats.org/officeDocument/2006/relationships/hyperlink" Target="http://context.reverso.net/%D0%BF%D0%B5%D1%80%D0%B5%D0%B2%D0%BE%D0%B4/%D0%B0%D0%BD%D0%B3%D0%BB%D0%B8%D0%B9%D1%81%D0%BA%D0%B8%D0%B9-%D1%80%D1%83%D1%81%D1%81%D0%BA%D0%B8%D0%B9/economic+development+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ldbank.org/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trust.ua/news/143498-priznaki-vosstanovlenia-ukrainskoj-ekonomiki.html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worldbank.org/" TargetMode="External"/><Relationship Id="rId10" Type="http://schemas.openxmlformats.org/officeDocument/2006/relationships/hyperlink" Target="http://www.doingbusine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eao.org.ua/wp-content/uploads/2016/08/FEAO_Analysis-of-the-NBU-Monetary-Pollicy-Effectiveness_A5_03.pdf" TargetMode="External"/><Relationship Id="rId14" Type="http://schemas.openxmlformats.org/officeDocument/2006/relationships/hyperlink" Target="http://www.ukrstat.gov.ua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85;&#1103;\&#1052;&#1086;&#1080;%20&#1076;&#1086;&#1082;&#1091;&#1084;&#1077;&#1085;&#1090;&#1099;\&#1088;&#1086;&#1079;&#1074;&#1080;&#1090;&#1086;&#1082;%20&#1084;&#1072;&#1082;&#1088;&#1086;&#1089;&#1080;&#1089;&#1090;&#1077;&#1084;&#1080;\&#1089;&#1090;&#1072;&#1090;\&#1089;&#1090;&#1088;&#1091;&#1082;&#1090;&#1091;&#1088;&#1072;%20&#1090;&#1086;&#1074;&#1072;&#1088;&#1086;&#1086;&#1073;&#1086;&#1088;&#1086;&#1090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85;&#1103;\&#1052;&#1086;&#1080;%20&#1076;&#1086;&#1082;&#1091;&#1084;&#1077;&#1085;&#1090;&#1099;\&#1088;&#1086;&#1079;&#1074;&#1080;&#1090;&#1086;&#1082;%20&#1084;&#1072;&#1082;&#1088;&#1086;&#1089;&#1080;&#1089;&#1090;&#1077;&#1084;&#1080;\&#1089;&#1090;&#1072;&#1090;\&#1079;&#1086;&#1074;&#1085;&#1110;&#1096;&#1085;&#1103;%20&#1090;&#1086;&#1088;&#1075;&#1110;&#1074;&#1083;&#1103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8;&#1072;&#1085;&#1103;\&#1052;&#1086;&#1080;%20&#1076;&#1086;&#1082;&#1091;&#1084;&#1077;&#1085;&#1090;&#1099;\&#1088;&#1086;&#1079;&#1074;&#1080;&#1090;&#1086;&#1082;%20&#1084;&#1072;&#1082;&#1088;&#1086;&#1089;&#1080;&#1089;&#1090;&#1077;&#1084;&#1080;\&#1089;&#1090;&#1072;&#1090;\&#1089;&#1090;&#1088;&#1091;&#1082;&#1090;&#1091;&#1088;&#1072;%20&#1089;&#1091;&#1082;&#1091;&#1087;&#1085;&#1080;&#1093;%20&#1074;&#1080;&#1090;&#1088;&#1072;&#1090;%20&#1076;&#1086;&#1084;&#1086;&#1075;&#1086;&#1089;&#1087;&#1086;&#1076;&#1072;&#1088;&#1089;&#1090;&#107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lineChart>
        <c:grouping val="standard"/>
        <c:ser>
          <c:idx val="1"/>
          <c:order val="0"/>
          <c:tx>
            <c:strRef>
              <c:f>Лист9!$B$1</c:f>
              <c:strCache>
                <c:ptCount val="1"/>
                <c:pt idx="0">
                  <c:v>Індекс споживчих цін</c:v>
                </c:pt>
              </c:strCache>
            </c:strRef>
          </c:tx>
          <c:cat>
            <c:numRef>
              <c:f>Лист9!$A$2:$A$15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Лист9!$B$2:$B$15</c:f>
              <c:numCache>
                <c:formatCode>General</c:formatCode>
                <c:ptCount val="14"/>
                <c:pt idx="0">
                  <c:v>108.2</c:v>
                </c:pt>
                <c:pt idx="1">
                  <c:v>112.3</c:v>
                </c:pt>
                <c:pt idx="2">
                  <c:v>110.3</c:v>
                </c:pt>
                <c:pt idx="3">
                  <c:v>111.6</c:v>
                </c:pt>
                <c:pt idx="4">
                  <c:v>116.6</c:v>
                </c:pt>
                <c:pt idx="5">
                  <c:v>122.3</c:v>
                </c:pt>
                <c:pt idx="6">
                  <c:v>112.3</c:v>
                </c:pt>
                <c:pt idx="7">
                  <c:v>109.1</c:v>
                </c:pt>
                <c:pt idx="8">
                  <c:v>104.6</c:v>
                </c:pt>
                <c:pt idx="9">
                  <c:v>99.8</c:v>
                </c:pt>
                <c:pt idx="10">
                  <c:v>100.5</c:v>
                </c:pt>
                <c:pt idx="11">
                  <c:v>124.9</c:v>
                </c:pt>
                <c:pt idx="12">
                  <c:v>143.30000000000001</c:v>
                </c:pt>
                <c:pt idx="13">
                  <c:v>112.4</c:v>
                </c:pt>
              </c:numCache>
            </c:numRef>
          </c:val>
        </c:ser>
        <c:ser>
          <c:idx val="2"/>
          <c:order val="1"/>
          <c:tx>
            <c:strRef>
              <c:f>Лист9!$C$1</c:f>
              <c:strCache>
                <c:ptCount val="1"/>
                <c:pt idx="0">
                  <c:v>Індекси фізичного обсягу роздрібного товарообороту підприємств</c:v>
                </c:pt>
              </c:strCache>
            </c:strRef>
          </c:tx>
          <c:cat>
            <c:numRef>
              <c:f>Лист9!$A$2:$A$15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Лист9!$C$2:$C$15</c:f>
              <c:numCache>
                <c:formatCode>General</c:formatCode>
                <c:ptCount val="14"/>
                <c:pt idx="0">
                  <c:v>120.5</c:v>
                </c:pt>
                <c:pt idx="1">
                  <c:v>121.9</c:v>
                </c:pt>
                <c:pt idx="2">
                  <c:v>123.4</c:v>
                </c:pt>
                <c:pt idx="3">
                  <c:v>126.4</c:v>
                </c:pt>
                <c:pt idx="4">
                  <c:v>129.5</c:v>
                </c:pt>
                <c:pt idx="5">
                  <c:v>117.3</c:v>
                </c:pt>
                <c:pt idx="6">
                  <c:v>79.099999999999994</c:v>
                </c:pt>
                <c:pt idx="7">
                  <c:v>110.1</c:v>
                </c:pt>
                <c:pt idx="8">
                  <c:v>113.2</c:v>
                </c:pt>
                <c:pt idx="9">
                  <c:v>112.3</c:v>
                </c:pt>
                <c:pt idx="10">
                  <c:v>106.1</c:v>
                </c:pt>
                <c:pt idx="11">
                  <c:v>90</c:v>
                </c:pt>
                <c:pt idx="12">
                  <c:v>80.2</c:v>
                </c:pt>
                <c:pt idx="13">
                  <c:v>104.5</c:v>
                </c:pt>
              </c:numCache>
            </c:numRef>
          </c:val>
        </c:ser>
        <c:ser>
          <c:idx val="3"/>
          <c:order val="2"/>
          <c:tx>
            <c:strRef>
              <c:f>Лист9!$D$1</c:f>
              <c:strCache>
                <c:ptCount val="1"/>
                <c:pt idx="0">
                  <c:v>індекс росту  ВВП на душу населення</c:v>
                </c:pt>
              </c:strCache>
            </c:strRef>
          </c:tx>
          <c:cat>
            <c:numRef>
              <c:f>Лист9!$A$2:$A$15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Лист9!$D$2:$D$15</c:f>
              <c:numCache>
                <c:formatCode>General</c:formatCode>
                <c:ptCount val="14"/>
                <c:pt idx="0">
                  <c:v>119.28</c:v>
                </c:pt>
                <c:pt idx="1">
                  <c:v>130.41</c:v>
                </c:pt>
                <c:pt idx="2">
                  <c:v>133.73999999999998</c:v>
                </c:pt>
                <c:pt idx="3">
                  <c:v>125.94000000000023</c:v>
                </c:pt>
                <c:pt idx="4">
                  <c:v>133.23999999999998</c:v>
                </c:pt>
                <c:pt idx="5">
                  <c:v>126.8</c:v>
                </c:pt>
                <c:pt idx="6">
                  <c:v>65.42</c:v>
                </c:pt>
                <c:pt idx="7">
                  <c:v>116.83</c:v>
                </c:pt>
                <c:pt idx="8">
                  <c:v>120.07</c:v>
                </c:pt>
                <c:pt idx="9">
                  <c:v>108.01</c:v>
                </c:pt>
                <c:pt idx="10">
                  <c:v>104.5</c:v>
                </c:pt>
                <c:pt idx="11">
                  <c:v>74.8</c:v>
                </c:pt>
                <c:pt idx="12">
                  <c:v>70.169999999999987</c:v>
                </c:pt>
                <c:pt idx="13">
                  <c:v>103.33</c:v>
                </c:pt>
              </c:numCache>
            </c:numRef>
          </c:val>
        </c:ser>
        <c:marker val="1"/>
        <c:axId val="104045952"/>
        <c:axId val="115972352"/>
      </c:lineChart>
      <c:catAx>
        <c:axId val="104045952"/>
        <c:scaling>
          <c:orientation val="minMax"/>
        </c:scaling>
        <c:axPos val="b"/>
        <c:numFmt formatCode="General" sourceLinked="1"/>
        <c:tickLblPos val="nextTo"/>
        <c:crossAx val="115972352"/>
        <c:crosses val="autoZero"/>
        <c:auto val="1"/>
        <c:lblAlgn val="ctr"/>
        <c:lblOffset val="100"/>
      </c:catAx>
      <c:valAx>
        <c:axId val="115972352"/>
        <c:scaling>
          <c:orientation val="minMax"/>
        </c:scaling>
        <c:axPos val="l"/>
        <c:majorGridlines/>
        <c:numFmt formatCode="General" sourceLinked="1"/>
        <c:tickLblPos val="nextTo"/>
        <c:crossAx val="10404595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Лист15!$D$1</c:f>
              <c:strCache>
                <c:ptCount val="1"/>
                <c:pt idx="0">
                  <c:v>експорт</c:v>
                </c:pt>
              </c:strCache>
            </c:strRef>
          </c:tx>
          <c:cat>
            <c:numRef>
              <c:f>Лист15!$A$2:$A$16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Лист15!$D$2:$D$16</c:f>
              <c:numCache>
                <c:formatCode>General</c:formatCode>
                <c:ptCount val="15"/>
                <c:pt idx="0">
                  <c:v>8914.5230499999998</c:v>
                </c:pt>
                <c:pt idx="1">
                  <c:v>14238.165669999968</c:v>
                </c:pt>
                <c:pt idx="2">
                  <c:v>17243.18806</c:v>
                </c:pt>
                <c:pt idx="3">
                  <c:v>18322.064790000029</c:v>
                </c:pt>
                <c:pt idx="4">
                  <c:v>19465.929200000002</c:v>
                </c:pt>
                <c:pt idx="5">
                  <c:v>23965.074800000009</c:v>
                </c:pt>
                <c:pt idx="6">
                  <c:v>34798.632699999995</c:v>
                </c:pt>
                <c:pt idx="7">
                  <c:v>24979.736100000009</c:v>
                </c:pt>
                <c:pt idx="8">
                  <c:v>24979.736100000009</c:v>
                </c:pt>
                <c:pt idx="9">
                  <c:v>34555.523299999993</c:v>
                </c:pt>
                <c:pt idx="10">
                  <c:v>39737.833399999996</c:v>
                </c:pt>
                <c:pt idx="11">
                  <c:v>44993.593299999993</c:v>
                </c:pt>
                <c:pt idx="12">
                  <c:v>34119.858200000148</c:v>
                </c:pt>
                <c:pt idx="13">
                  <c:v>25923.982300000021</c:v>
                </c:pt>
                <c:pt idx="14">
                  <c:v>23141.314699999992</c:v>
                </c:pt>
              </c:numCache>
            </c:numRef>
          </c:val>
        </c:ser>
        <c:ser>
          <c:idx val="1"/>
          <c:order val="1"/>
          <c:tx>
            <c:strRef>
              <c:f>Лист15!$E$1</c:f>
              <c:strCache>
                <c:ptCount val="1"/>
                <c:pt idx="0">
                  <c:v>імпорт</c:v>
                </c:pt>
              </c:strCache>
            </c:strRef>
          </c:tx>
          <c:cat>
            <c:numRef>
              <c:f>Лист15!$A$2:$A$16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Лист15!$E$2:$E$16</c:f>
              <c:numCache>
                <c:formatCode>General</c:formatCode>
                <c:ptCount val="15"/>
                <c:pt idx="0">
                  <c:v>13061.809370000003</c:v>
                </c:pt>
                <c:pt idx="1">
                  <c:v>20798.128409999994</c:v>
                </c:pt>
                <c:pt idx="2">
                  <c:v>24475.236860000001</c:v>
                </c:pt>
                <c:pt idx="3">
                  <c:v>30202.710509999921</c:v>
                </c:pt>
                <c:pt idx="4">
                  <c:v>36226.307200000003</c:v>
                </c:pt>
                <c:pt idx="5">
                  <c:v>47142.667699999998</c:v>
                </c:pt>
                <c:pt idx="6">
                  <c:v>66752.493499999968</c:v>
                </c:pt>
                <c:pt idx="7">
                  <c:v>40320.284600000006</c:v>
                </c:pt>
                <c:pt idx="8">
                  <c:v>40320.284600000006</c:v>
                </c:pt>
                <c:pt idx="9">
                  <c:v>60150.713999999993</c:v>
                </c:pt>
                <c:pt idx="10">
                  <c:v>63696.458700000003</c:v>
                </c:pt>
                <c:pt idx="11">
                  <c:v>71498.222999999969</c:v>
                </c:pt>
                <c:pt idx="12">
                  <c:v>43376.459900000009</c:v>
                </c:pt>
                <c:pt idx="13">
                  <c:v>30073.467600000025</c:v>
                </c:pt>
                <c:pt idx="14">
                  <c:v>26936.0622</c:v>
                </c:pt>
              </c:numCache>
            </c:numRef>
          </c:val>
        </c:ser>
        <c:axId val="115992064"/>
        <c:axId val="56226176"/>
      </c:barChart>
      <c:catAx>
        <c:axId val="115992064"/>
        <c:scaling>
          <c:orientation val="minMax"/>
        </c:scaling>
        <c:axPos val="b"/>
        <c:numFmt formatCode="General" sourceLinked="1"/>
        <c:tickLblPos val="nextTo"/>
        <c:crossAx val="56226176"/>
        <c:crosses val="autoZero"/>
        <c:auto val="1"/>
        <c:lblAlgn val="ctr"/>
        <c:lblOffset val="100"/>
      </c:catAx>
      <c:valAx>
        <c:axId val="562261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млн. дол.</a:t>
                </a:r>
              </a:p>
            </c:rich>
          </c:tx>
          <c:layout>
            <c:manualLayout>
              <c:xMode val="edge"/>
              <c:yMode val="edge"/>
              <c:x val="3.0555555555555582E-2"/>
              <c:y val="3.0376202974628216E-2"/>
            </c:manualLayout>
          </c:layout>
        </c:title>
        <c:numFmt formatCode="General" sourceLinked="1"/>
        <c:tickLblPos val="nextTo"/>
        <c:crossAx val="115992064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lineChart>
        <c:grouping val="standard"/>
        <c:ser>
          <c:idx val="0"/>
          <c:order val="0"/>
          <c:tx>
            <c:strRef>
              <c:f>Лист2!$A$2</c:f>
              <c:strCache>
                <c:ptCount val="1"/>
                <c:pt idx="0">
                  <c:v>Споживчі сукупні витрати</c:v>
                </c:pt>
              </c:strCache>
            </c:strRef>
          </c:tx>
          <c:cat>
            <c:numRef>
              <c:f>Лист2!$B$1:$P$1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Лист2!$B$2:$P$2</c:f>
              <c:numCache>
                <c:formatCode>0.0</c:formatCode>
                <c:ptCount val="15"/>
                <c:pt idx="0">
                  <c:v>411.99899999999855</c:v>
                </c:pt>
                <c:pt idx="1">
                  <c:v>505.03289999999993</c:v>
                </c:pt>
                <c:pt idx="2">
                  <c:v>568.75900000000001</c:v>
                </c:pt>
                <c:pt idx="3">
                  <c:v>610.90239999999949</c:v>
                </c:pt>
                <c:pt idx="4">
                  <c:v>687.43439999999987</c:v>
                </c:pt>
                <c:pt idx="5">
                  <c:v>836.64099999999996</c:v>
                </c:pt>
                <c:pt idx="6">
                  <c:v>1119.9833999999998</c:v>
                </c:pt>
                <c:pt idx="7">
                  <c:v>1305.7339999999999</c:v>
                </c:pt>
                <c:pt idx="8">
                  <c:v>2762.8967000000002</c:v>
                </c:pt>
                <c:pt idx="9">
                  <c:v>3115.6579999999999</c:v>
                </c:pt>
                <c:pt idx="10">
                  <c:v>3261.6267999999927</c:v>
                </c:pt>
                <c:pt idx="11">
                  <c:v>3445.9106000000006</c:v>
                </c:pt>
                <c:pt idx="12">
                  <c:v>3708.7923999999998</c:v>
                </c:pt>
                <c:pt idx="13">
                  <c:v>4600.4079999999994</c:v>
                </c:pt>
                <c:pt idx="14">
                  <c:v>5308.87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Загальні доходи</c:v>
                </c:pt>
              </c:strCache>
            </c:strRef>
          </c:tx>
          <c:cat>
            <c:numRef>
              <c:f>Лист2!$B$1:$P$1</c:f>
              <c:numCache>
                <c:formatCode>General</c:formatCode>
                <c:ptCount val="15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</c:numCache>
            </c:numRef>
          </c:cat>
          <c:val>
            <c:numRef>
              <c:f>Лист2!$B$3:$P$3</c:f>
              <c:numCache>
                <c:formatCode>General</c:formatCode>
                <c:ptCount val="15"/>
                <c:pt idx="0">
                  <c:v>583.20000000000005</c:v>
                </c:pt>
                <c:pt idx="1">
                  <c:v>678.6</c:v>
                </c:pt>
                <c:pt idx="2">
                  <c:v>876.3</c:v>
                </c:pt>
                <c:pt idx="3">
                  <c:v>1262.0999999999999</c:v>
                </c:pt>
                <c:pt idx="4">
                  <c:v>1544.4</c:v>
                </c:pt>
                <c:pt idx="5">
                  <c:v>1939.1</c:v>
                </c:pt>
                <c:pt idx="6">
                  <c:v>2722.8</c:v>
                </c:pt>
                <c:pt idx="7">
                  <c:v>2892</c:v>
                </c:pt>
                <c:pt idx="8">
                  <c:v>3369.8</c:v>
                </c:pt>
                <c:pt idx="9">
                  <c:v>3708.2</c:v>
                </c:pt>
                <c:pt idx="10">
                  <c:v>4031.9</c:v>
                </c:pt>
                <c:pt idx="11">
                  <c:v>4331</c:v>
                </c:pt>
                <c:pt idx="12">
                  <c:v>4470.9000000000005</c:v>
                </c:pt>
                <c:pt idx="13">
                  <c:v>5122</c:v>
                </c:pt>
                <c:pt idx="14">
                  <c:v>5849.3200000000024</c:v>
                </c:pt>
              </c:numCache>
            </c:numRef>
          </c:val>
        </c:ser>
        <c:marker val="1"/>
        <c:axId val="56349440"/>
        <c:axId val="56350976"/>
      </c:lineChart>
      <c:catAx>
        <c:axId val="56349440"/>
        <c:scaling>
          <c:orientation val="minMax"/>
        </c:scaling>
        <c:axPos val="b"/>
        <c:numFmt formatCode="General" sourceLinked="1"/>
        <c:tickLblPos val="nextTo"/>
        <c:crossAx val="56350976"/>
        <c:crosses val="autoZero"/>
        <c:auto val="1"/>
        <c:lblAlgn val="ctr"/>
        <c:lblOffset val="100"/>
      </c:catAx>
      <c:valAx>
        <c:axId val="56350976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грн.</a:t>
                </a:r>
              </a:p>
            </c:rich>
          </c:tx>
          <c:layout>
            <c:manualLayout>
              <c:xMode val="edge"/>
              <c:yMode val="edge"/>
              <c:x val="1.5725743098818034E-2"/>
              <c:y val="3.1665598455414369E-2"/>
            </c:manualLayout>
          </c:layout>
        </c:title>
        <c:numFmt formatCode="0.0" sourceLinked="1"/>
        <c:tickLblPos val="nextTo"/>
        <c:crossAx val="5634944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6A4D6-2111-4563-A9F9-097A9461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</Company>
  <LinksUpToDate>false</LinksUpToDate>
  <CharactersWithSpaces>24362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2018-04-15T16:05:00Z</dcterms:created>
  <dcterms:modified xsi:type="dcterms:W3CDTF">2018-04-15T16:09:00Z</dcterms:modified>
</cp:coreProperties>
</file>