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59" w:rsidRPr="005A6523" w:rsidRDefault="00DE7159" w:rsidP="00DE71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К. Ю. </w:t>
      </w:r>
      <w:proofErr w:type="spellStart"/>
      <w:r w:rsidRPr="005A6523">
        <w:rPr>
          <w:rFonts w:ascii="Times New Roman" w:hAnsi="Times New Roman" w:cs="Times New Roman"/>
          <w:b/>
          <w:i/>
          <w:sz w:val="20"/>
          <w:szCs w:val="20"/>
          <w:lang w:val="uk-UA"/>
        </w:rPr>
        <w:t>Уманець</w:t>
      </w:r>
      <w:proofErr w:type="spellEnd"/>
    </w:p>
    <w:p w:rsidR="00DE7159" w:rsidRPr="005A6523" w:rsidRDefault="00DE7159" w:rsidP="00DE71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b/>
          <w:i/>
          <w:sz w:val="20"/>
          <w:szCs w:val="20"/>
          <w:lang w:val="uk-UA"/>
        </w:rPr>
        <w:t>Полтавський університет економіка і торгівлі</w:t>
      </w:r>
    </w:p>
    <w:p w:rsidR="00EB3F99" w:rsidRPr="005A6523" w:rsidRDefault="00EB3F99" w:rsidP="00DE71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E7159" w:rsidRPr="005A6523" w:rsidRDefault="00EB3F99" w:rsidP="00DE71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r w:rsidRPr="005A6523">
        <w:rPr>
          <w:rFonts w:ascii="Times New Roman" w:hAnsi="Times New Roman" w:cs="Times New Roman"/>
          <w:b/>
          <w:sz w:val="20"/>
          <w:szCs w:val="20"/>
          <w:lang w:val="uk-UA"/>
        </w:rPr>
        <w:t>АНАЛІЗ НОРМАТИВНОЇ ДОКУМЕН</w:t>
      </w:r>
      <w:r w:rsidR="001632BE" w:rsidRPr="005A6523">
        <w:rPr>
          <w:rFonts w:ascii="Times New Roman" w:hAnsi="Times New Roman" w:cs="Times New Roman"/>
          <w:b/>
          <w:sz w:val="20"/>
          <w:szCs w:val="20"/>
          <w:lang w:val="uk-UA"/>
        </w:rPr>
        <w:t>ТАЦІЇ, ЩО РЕГЛАМЕНТУЄ БЕ</w:t>
      </w:r>
      <w:r w:rsidRPr="005A6523">
        <w:rPr>
          <w:rFonts w:ascii="Times New Roman" w:hAnsi="Times New Roman" w:cs="Times New Roman"/>
          <w:b/>
          <w:sz w:val="20"/>
          <w:szCs w:val="20"/>
          <w:lang w:val="uk-UA"/>
        </w:rPr>
        <w:t>ЗПЕКУ ІГРАШОК</w:t>
      </w:r>
    </w:p>
    <w:bookmarkEnd w:id="0"/>
    <w:p w:rsidR="00EB3F99" w:rsidRPr="005A6523" w:rsidRDefault="00EB3F99" w:rsidP="00DE71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760BD" w:rsidRPr="005A6523" w:rsidRDefault="00C760BD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sz w:val="20"/>
          <w:szCs w:val="20"/>
          <w:lang w:val="uk-UA"/>
        </w:rPr>
        <w:t>З виходом українських підприємств на зовнішній ринок і доступністю українс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ького ринку для зарубіжних фірм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проблема якості продукції стала пріоритетною для вітчизняного товаровиробника. У розвинених країнах світу питання покращення якості займають провідне місце у забезпеченні конкурент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оспроможності товарів культурно-побутового призначення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в тому числі і іграшок .</w:t>
      </w:r>
    </w:p>
    <w:p w:rsidR="00C760BD" w:rsidRPr="005A6523" w:rsidRDefault="00C760BD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sz w:val="20"/>
          <w:szCs w:val="20"/>
          <w:lang w:val="uk-UA"/>
        </w:rPr>
        <w:t>Від показників якості в галуз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і на сьогоднішній день залежить</w:t>
      </w:r>
      <w:r w:rsidR="005A6523">
        <w:rPr>
          <w:rFonts w:ascii="Times New Roman" w:hAnsi="Times New Roman" w:cs="Times New Roman"/>
          <w:sz w:val="20"/>
          <w:szCs w:val="20"/>
          <w:lang w:val="uk-UA"/>
        </w:rPr>
        <w:t xml:space="preserve">, чи 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вдасться економіці України та її підприємствам швидко інтег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руватися у світове господарство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чи увійде Україна у світове співтовариство як рівноправн</w:t>
      </w:r>
      <w:r w:rsidR="005A6523">
        <w:rPr>
          <w:rFonts w:ascii="Times New Roman" w:hAnsi="Times New Roman" w:cs="Times New Roman"/>
          <w:sz w:val="20"/>
          <w:szCs w:val="20"/>
          <w:lang w:val="uk-UA"/>
        </w:rPr>
        <w:t>ий партнер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або ж залишиться в 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положенні сировинного придатка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. Успішна інтеграція українських підприємств неможлива без стабільної якості і на цій основі забезпечення конкурентоспроможності продукції є основним завданням виробників.</w:t>
      </w:r>
    </w:p>
    <w:p w:rsidR="00C760BD" w:rsidRPr="005A6523" w:rsidRDefault="00C760BD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Метою даної роботи є аналіз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нормативної документації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що впливають на безпеку іграшок з пластичних мас .</w:t>
      </w:r>
    </w:p>
    <w:p w:rsidR="00B8077C" w:rsidRPr="005A6523" w:rsidRDefault="005A6523" w:rsidP="006F3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sz w:val="20"/>
          <w:szCs w:val="20"/>
          <w:lang w:val="uk-UA"/>
        </w:rPr>
        <w:t>З 1 січня 2011 року іграшки виключені з Переліку продукції , що підлягає обов'язковій сертифікації в Україні. З цього часу стає обов'язковим застосування Технічного регламенту безпеки іграшок, затвердженого постановою Кабінету Міністрів України від 8 жовтня 2008 р. N 901 [1]. Даний документ визначає вимоги до безпеки іграшок, процедуру оцінки їх відповідності таким вимогам, встановлює правила маркування, а також введення в обіг іграшок як імпортованих, так і вітчизняного виробництва, їх продажу і безкоштовн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розповсюдження.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>Введення іграшок в обіг дозволяється тільки в тому випа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дку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>, якщо вони відповідають вимогам безпеки для життя і здоров'я споживачів у разі використання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їх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за призна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ченням за умови передбачуваної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поведінки дітей. Оцінку відповідності іграшок вимогам цього Технічного регламенту виробник або уповноважений представник проводять із застосуванням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процедури оцінки відповідності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>, як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передбачен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законодавством України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 xml:space="preserve">. В результаті відповідності продукції вимогам технічного регламенту 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>наносять національний знак відповідності на кожн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іграш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ку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або її упаков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ку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(незамкну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з правого боку основне коло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всередині якого вміщено стилізоване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зображення трилисника)</w:t>
      </w:r>
      <w:r w:rsidR="00C760BD" w:rsidRPr="005A652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Наказом Держспоживстандарту України в 2006 р. був затверджений </w:t>
      </w:r>
      <w:r>
        <w:rPr>
          <w:rFonts w:ascii="Times New Roman" w:hAnsi="Times New Roman" w:cs="Times New Roman"/>
          <w:sz w:val="20"/>
          <w:szCs w:val="20"/>
          <w:lang w:val="uk-UA"/>
        </w:rPr>
        <w:t>Перелік національних стандартів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>, що складаєт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ься з 12-ти ДСТУ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відповідних 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 xml:space="preserve">європейським стандартам </w:t>
      </w:r>
      <w:r w:rsidR="006F395B" w:rsidRPr="005A6523">
        <w:rPr>
          <w:rFonts w:ascii="Times New Roman" w:hAnsi="Times New Roman" w:cs="Times New Roman"/>
          <w:sz w:val="20"/>
          <w:szCs w:val="20"/>
          <w:lang w:val="uk-UA"/>
        </w:rPr>
        <w:t>EN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, які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в разі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їх добровільного використання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є доказом відповідності продукції 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lastRenderedPageBreak/>
        <w:t>вимогам Технічного регламенту з підтвердження відпов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ідності вимогам безпеки іграшок</w:t>
      </w:r>
      <w:r w:rsidR="00EB3F99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[1]</w:t>
      </w:r>
      <w:r w:rsidR="006F395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8077C" w:rsidRPr="005A6523" w:rsidRDefault="00B8077C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Існуючі в Україні Державні санітарні правила і норми безпеки іграшок </w:t>
      </w:r>
      <w:r w:rsidR="005A6523">
        <w:rPr>
          <w:rFonts w:ascii="Times New Roman" w:hAnsi="Times New Roman" w:cs="Times New Roman"/>
          <w:sz w:val="20"/>
          <w:szCs w:val="20"/>
          <w:lang w:val="uk-UA"/>
        </w:rPr>
        <w:t>та ігор для здоров'я дітей (</w:t>
      </w:r>
      <w:proofErr w:type="spellStart"/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СанПіН</w:t>
      </w:r>
      <w:proofErr w:type="spellEnd"/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5.5.6.012-98) поширюються на асортимент іграшок та ігор для дітей і підлітків і встановлюють вимоги і норми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безпеки для здоров'я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а також порядок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проведення державної санітарно-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гігієнічно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ї експертизи на етапах розробки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виробницт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ва, зберігання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реалізації та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методів досліджень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. Попереджувальний і поточний </w:t>
      </w:r>
      <w:r w:rsidR="009523E5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державний 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санітарно</w:t>
      </w:r>
      <w:r w:rsidR="00907272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епідеміологічний нагляд за виконанням цих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Правил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гігієнічна експертиза нормативно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ї документації на іграшки 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органами та установами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Державної санітарно-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епідеміологічної служби та відповідних науково-дослідних установ Міністерства охорони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здоров'я України. З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а порушення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Правил винні особи (установи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заклади) притягаються до дисципл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інарної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, адміністративної 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і кримінальної відповідальності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>, відпов</w:t>
      </w:r>
      <w:r w:rsidR="00DE7159" w:rsidRPr="005A6523">
        <w:rPr>
          <w:rFonts w:ascii="Times New Roman" w:hAnsi="Times New Roman" w:cs="Times New Roman"/>
          <w:sz w:val="20"/>
          <w:szCs w:val="20"/>
          <w:lang w:val="uk-UA"/>
        </w:rPr>
        <w:t>ідно до законодавства України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EB3F99" w:rsidRPr="005A6523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EB3F99" w:rsidRPr="005A6523">
        <w:rPr>
          <w:rFonts w:ascii="Times New Roman" w:hAnsi="Times New Roman" w:cs="Times New Roman"/>
          <w:sz w:val="20"/>
          <w:szCs w:val="20"/>
          <w:lang w:val="en-US"/>
        </w:rPr>
        <w:t>2]</w:t>
      </w:r>
      <w:r w:rsidR="005A6523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.</w:t>
      </w:r>
    </w:p>
    <w:p w:rsidR="00C760BD" w:rsidRPr="005A6523" w:rsidRDefault="00907272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Таким чином, </w:t>
      </w:r>
      <w:r w:rsidR="00B8077C"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національні вимоги до якістю іграшок цілком відповідають міжнародним нормам EN і ISO. На жаль, відсутність атмосфери поваги до вітчизняного виробника, їх високий рівень оподаткування, низька купівельна спроможність населення та їх гонитва за дешевизною (а, відповідно, і неякісною продукцією) залишають невирішеними </w:t>
      </w:r>
      <w:r w:rsidR="009523E5">
        <w:rPr>
          <w:rFonts w:ascii="Times New Roman" w:hAnsi="Times New Roman" w:cs="Times New Roman"/>
          <w:sz w:val="20"/>
          <w:szCs w:val="20"/>
          <w:lang w:val="uk-UA"/>
        </w:rPr>
        <w:t>проблеми якості дитячих іграшок</w:t>
      </w:r>
      <w:r w:rsidR="005A6523" w:rsidRPr="005A652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E7159" w:rsidRPr="005A6523" w:rsidRDefault="005A6523" w:rsidP="005A65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Література:</w:t>
      </w:r>
    </w:p>
    <w:p w:rsidR="005A6523" w:rsidRPr="005A6523" w:rsidRDefault="005A6523" w:rsidP="00492E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Технічний</w:t>
      </w:r>
      <w:proofErr w:type="spellEnd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регламент </w:t>
      </w:r>
      <w:proofErr w:type="spellStart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безпеки</w:t>
      </w:r>
      <w:proofErr w:type="spellEnd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іграшок</w:t>
      </w:r>
      <w:proofErr w:type="spellEnd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[Электронный ресурс]. – Режим доступа к журн.</w:t>
      </w:r>
      <w:proofErr w:type="gramStart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http://zakon4.rada.gov.ua/laws/show/515-201.</w:t>
      </w:r>
    </w:p>
    <w:p w:rsidR="005A6523" w:rsidRPr="00492E98" w:rsidRDefault="005A6523" w:rsidP="00492E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Державні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санітарні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правила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і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норми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безпеки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іграшок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ігор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здоров’я</w:t>
      </w:r>
      <w:proofErr w:type="spellEnd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92E98"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дітей</w:t>
      </w:r>
      <w:proofErr w:type="spellEnd"/>
      <w:proofErr w:type="gramStart"/>
      <w:r w:rsidR="00492E9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:</w:t>
      </w:r>
      <w:proofErr w:type="gramEnd"/>
      <w:r w:rsidR="00492E9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ДСанПіН</w:t>
      </w:r>
      <w:proofErr w:type="spellEnd"/>
      <w:r w:rsidRPr="006F39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5.5.6.012-98 </w:t>
      </w:r>
      <w:r w:rsidR="006F395B"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[Электронный ресурс]</w:t>
      </w:r>
      <w:r w:rsidRPr="005A65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A6523">
        <w:rPr>
          <w:rFonts w:ascii="Times New Roman" w:hAnsi="Times New Roman"/>
          <w:sz w:val="20"/>
          <w:szCs w:val="20"/>
        </w:rPr>
        <w:t>– Режим доступа к журн.</w:t>
      </w:r>
      <w:proofErr w:type="gramStart"/>
      <w:r w:rsidRPr="005A6523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A6523">
        <w:rPr>
          <w:rFonts w:ascii="Times New Roman" w:hAnsi="Times New Roman"/>
          <w:sz w:val="20"/>
          <w:szCs w:val="20"/>
        </w:rPr>
        <w:t xml:space="preserve"> </w:t>
      </w:r>
      <w:hyperlink r:id="rId4" w:history="1">
        <w:r w:rsidR="00492E98" w:rsidRPr="003F6BDF">
          <w:rPr>
            <w:rStyle w:val="a3"/>
            <w:rFonts w:ascii="Times New Roman" w:hAnsi="Times New Roman"/>
            <w:sz w:val="20"/>
            <w:szCs w:val="20"/>
          </w:rPr>
          <w:t>http://document.ua/derzhavni-sanitarni-pravila-i-normi-bezpeki-igrashok-ta-igor-nor8159.html</w:t>
        </w:r>
      </w:hyperlink>
      <w:r w:rsidR="00492E98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:rsidR="005A6523" w:rsidRPr="005A6523" w:rsidRDefault="005A6523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E7159" w:rsidRPr="005A6523" w:rsidRDefault="00DE7159" w:rsidP="005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6523">
        <w:rPr>
          <w:rFonts w:ascii="Times New Roman" w:hAnsi="Times New Roman" w:cs="Times New Roman"/>
          <w:b/>
          <w:i/>
          <w:sz w:val="20"/>
          <w:szCs w:val="20"/>
          <w:lang w:val="uk-UA"/>
        </w:rPr>
        <w:t>Науковий керівник:</w:t>
      </w:r>
      <w:r w:rsidRPr="005A6523">
        <w:rPr>
          <w:rFonts w:ascii="Times New Roman" w:hAnsi="Times New Roman" w:cs="Times New Roman"/>
          <w:sz w:val="20"/>
          <w:szCs w:val="20"/>
          <w:lang w:val="uk-UA"/>
        </w:rPr>
        <w:t xml:space="preserve"> Ю.А. Басова старший викладач кафедри товарознавства непродовольчих товарів </w:t>
      </w:r>
    </w:p>
    <w:sectPr w:rsidR="00DE7159" w:rsidRPr="005A6523" w:rsidSect="005A6523">
      <w:pgSz w:w="8392" w:h="11907" w:code="11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4D46CC"/>
    <w:rsid w:val="000D38C6"/>
    <w:rsid w:val="00124231"/>
    <w:rsid w:val="00130649"/>
    <w:rsid w:val="00130B72"/>
    <w:rsid w:val="00156679"/>
    <w:rsid w:val="001632BE"/>
    <w:rsid w:val="00193FD5"/>
    <w:rsid w:val="001F64DE"/>
    <w:rsid w:val="00203C6E"/>
    <w:rsid w:val="002B1691"/>
    <w:rsid w:val="002C43BE"/>
    <w:rsid w:val="00304C47"/>
    <w:rsid w:val="00391D67"/>
    <w:rsid w:val="003F1A84"/>
    <w:rsid w:val="003F70AB"/>
    <w:rsid w:val="00413E38"/>
    <w:rsid w:val="0047330A"/>
    <w:rsid w:val="00492E98"/>
    <w:rsid w:val="004B67E8"/>
    <w:rsid w:val="004B6AD0"/>
    <w:rsid w:val="004C245B"/>
    <w:rsid w:val="004D46CC"/>
    <w:rsid w:val="00503E6F"/>
    <w:rsid w:val="00503F8B"/>
    <w:rsid w:val="005320F1"/>
    <w:rsid w:val="00553EF2"/>
    <w:rsid w:val="005802E4"/>
    <w:rsid w:val="00587007"/>
    <w:rsid w:val="005A6523"/>
    <w:rsid w:val="006009A6"/>
    <w:rsid w:val="00607BAB"/>
    <w:rsid w:val="00617923"/>
    <w:rsid w:val="00623AC2"/>
    <w:rsid w:val="00631DAF"/>
    <w:rsid w:val="00636FAB"/>
    <w:rsid w:val="00654460"/>
    <w:rsid w:val="00656B95"/>
    <w:rsid w:val="006A1EA4"/>
    <w:rsid w:val="006F395B"/>
    <w:rsid w:val="00766CC8"/>
    <w:rsid w:val="007C7933"/>
    <w:rsid w:val="00871944"/>
    <w:rsid w:val="00894901"/>
    <w:rsid w:val="00897B85"/>
    <w:rsid w:val="008A3F97"/>
    <w:rsid w:val="00907272"/>
    <w:rsid w:val="009523E5"/>
    <w:rsid w:val="00977465"/>
    <w:rsid w:val="009815D6"/>
    <w:rsid w:val="00A746C4"/>
    <w:rsid w:val="00B6264C"/>
    <w:rsid w:val="00B8077C"/>
    <w:rsid w:val="00BC2700"/>
    <w:rsid w:val="00C43F52"/>
    <w:rsid w:val="00C554FB"/>
    <w:rsid w:val="00C56953"/>
    <w:rsid w:val="00C760BD"/>
    <w:rsid w:val="00CE29F0"/>
    <w:rsid w:val="00D01486"/>
    <w:rsid w:val="00D01EB4"/>
    <w:rsid w:val="00D34C9A"/>
    <w:rsid w:val="00DD64BC"/>
    <w:rsid w:val="00DE7159"/>
    <w:rsid w:val="00E208B5"/>
    <w:rsid w:val="00E4637A"/>
    <w:rsid w:val="00E971E0"/>
    <w:rsid w:val="00EB14FF"/>
    <w:rsid w:val="00EB3F99"/>
    <w:rsid w:val="00EC4786"/>
    <w:rsid w:val="00F10F6A"/>
    <w:rsid w:val="00F25C7E"/>
    <w:rsid w:val="00F75186"/>
    <w:rsid w:val="00F77259"/>
    <w:rsid w:val="00F808EB"/>
    <w:rsid w:val="00F86EE7"/>
    <w:rsid w:val="00F90350"/>
    <w:rsid w:val="00F95CA2"/>
    <w:rsid w:val="00FC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50"/>
  </w:style>
  <w:style w:type="paragraph" w:styleId="2">
    <w:name w:val="heading 2"/>
    <w:basedOn w:val="a"/>
    <w:link w:val="20"/>
    <w:uiPriority w:val="9"/>
    <w:qFormat/>
    <w:rsid w:val="006F3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9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9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1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ument.ua/derzhavni-sanitarni-pravila-i-normi-bezpeki-igrashok-ta-igor-nor8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olenko</cp:lastModifiedBy>
  <cp:revision>4</cp:revision>
  <dcterms:created xsi:type="dcterms:W3CDTF">2014-02-27T02:58:00Z</dcterms:created>
  <dcterms:modified xsi:type="dcterms:W3CDTF">2014-02-27T13:17:00Z</dcterms:modified>
</cp:coreProperties>
</file>