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054" w:rsidRDefault="00234F00" w:rsidP="00EF6112">
      <w:pPr>
        <w:spacing w:after="0" w:line="216" w:lineRule="auto"/>
        <w:ind w:left="283"/>
        <w:jc w:val="center"/>
        <w:rPr>
          <w:rFonts w:ascii="Times New Roman" w:eastAsia="SimSun" w:hAnsi="Times New Roman" w:cs="Times New Roman"/>
          <w:b/>
          <w:bCs/>
        </w:rPr>
      </w:pPr>
      <w:r>
        <w:rPr>
          <w:rFonts w:ascii="Times New Roman" w:eastAsia="SimSun" w:hAnsi="Times New Roman" w:cs="Times New Roman"/>
          <w:b/>
          <w:bCs/>
        </w:rPr>
        <w:t xml:space="preserve">THE IMPACT OF DIGITAL TECHNOLOGIES ON LABOR </w:t>
      </w:r>
      <w:r w:rsidRPr="0068056F">
        <w:rPr>
          <w:rFonts w:ascii="Times New Roman" w:eastAsia="SimSun" w:hAnsi="Times New Roman" w:cs="Times New Roman"/>
          <w:b/>
          <w:bCs/>
        </w:rPr>
        <w:t>PRODUCTIVITY</w:t>
      </w:r>
    </w:p>
    <w:p w:rsidR="00EF6112" w:rsidRDefault="00EF6112" w:rsidP="00EF6112">
      <w:pPr>
        <w:spacing w:after="0" w:line="240" w:lineRule="auto"/>
        <w:jc w:val="both"/>
        <w:rPr>
          <w:rFonts w:ascii="Times New Roman" w:hAnsi="Times New Roman" w:cs="Times New Roman"/>
        </w:rPr>
      </w:pPr>
      <w:r>
        <w:rPr>
          <w:rFonts w:ascii="Times New Roman" w:eastAsia="Times New Roman" w:hAnsi="Times New Roman" w:cs="Times New Roman"/>
          <w:bCs/>
          <w:lang w:eastAsia="ru-RU"/>
        </w:rPr>
        <w:t>4.Актуальні проблеми комунікативної та професійної компетенції: мовний і соціокультурний аспекти</w:t>
      </w:r>
    </w:p>
    <w:p w:rsidR="00EF6112" w:rsidRPr="0068056F" w:rsidRDefault="00EF6112" w:rsidP="00EF6112">
      <w:pPr>
        <w:spacing w:after="0" w:line="216" w:lineRule="auto"/>
        <w:ind w:left="283"/>
        <w:jc w:val="center"/>
        <w:rPr>
          <w:rFonts w:ascii="Times New Roman" w:hAnsi="Times New Roman" w:cs="Times New Roman"/>
          <w:b/>
        </w:rPr>
      </w:pPr>
    </w:p>
    <w:p w:rsidR="006F2054" w:rsidRPr="0068056F" w:rsidRDefault="004D57DB" w:rsidP="00EF6112">
      <w:pPr>
        <w:spacing w:after="0" w:line="216" w:lineRule="auto"/>
        <w:jc w:val="center"/>
        <w:rPr>
          <w:rFonts w:ascii="Times New Roman" w:hAnsi="Times New Roman" w:cs="Times New Roman"/>
        </w:rPr>
      </w:pPr>
      <w:r w:rsidRPr="0068056F">
        <w:rPr>
          <w:rFonts w:ascii="Times New Roman" w:hAnsi="Times New Roman" w:cs="Times New Roman"/>
          <w:b/>
        </w:rPr>
        <w:t>Ю.В.</w:t>
      </w:r>
      <w:r w:rsidR="00234F00" w:rsidRPr="0068056F">
        <w:rPr>
          <w:rFonts w:ascii="Times New Roman" w:hAnsi="Times New Roman" w:cs="Times New Roman"/>
          <w:b/>
        </w:rPr>
        <w:t>Луб’янецька</w:t>
      </w:r>
      <w:r w:rsidR="00234F00" w:rsidRPr="0068056F">
        <w:rPr>
          <w:rFonts w:ascii="Times New Roman" w:hAnsi="Times New Roman" w:cs="Times New Roman"/>
        </w:rPr>
        <w:t xml:space="preserve">, </w:t>
      </w:r>
      <w:r w:rsidR="0068056F">
        <w:rPr>
          <w:rFonts w:ascii="Times New Roman" w:hAnsi="Times New Roman" w:cs="Times New Roman"/>
        </w:rPr>
        <w:t>студентка спеціальністі «</w:t>
      </w:r>
      <w:r w:rsidR="00234F00" w:rsidRPr="0068056F">
        <w:rPr>
          <w:rFonts w:ascii="Times New Roman" w:hAnsi="Times New Roman" w:cs="Times New Roman"/>
        </w:rPr>
        <w:t xml:space="preserve"> Економіка та міжнародні економічні відносини</w:t>
      </w:r>
      <w:r w:rsidR="0068056F">
        <w:rPr>
          <w:rFonts w:ascii="Times New Roman" w:hAnsi="Times New Roman" w:cs="Times New Roman"/>
        </w:rPr>
        <w:t>»</w:t>
      </w:r>
      <w:r w:rsidR="00234F00" w:rsidRPr="0068056F">
        <w:rPr>
          <w:rFonts w:ascii="Times New Roman" w:hAnsi="Times New Roman" w:cs="Times New Roman"/>
        </w:rPr>
        <w:t>, група МЕВ б-11;</w:t>
      </w:r>
    </w:p>
    <w:p w:rsidR="0068056F" w:rsidRPr="006E19BD" w:rsidRDefault="0068056F" w:rsidP="0068056F">
      <w:pPr>
        <w:spacing w:after="0" w:line="216" w:lineRule="auto"/>
        <w:ind w:left="283" w:firstLine="426"/>
        <w:rPr>
          <w:rFonts w:ascii="Times New Roman" w:hAnsi="Times New Roman" w:cs="Times New Roman"/>
        </w:rPr>
      </w:pPr>
      <w:r w:rsidRPr="006E19BD">
        <w:rPr>
          <w:rFonts w:ascii="Times New Roman" w:hAnsi="Times New Roman" w:cs="Times New Roman"/>
          <w:b/>
        </w:rPr>
        <w:t>Науковий керівник:</w:t>
      </w:r>
    </w:p>
    <w:p w:rsidR="0068056F" w:rsidRDefault="0068056F" w:rsidP="0068056F">
      <w:pPr>
        <w:spacing w:after="0" w:line="216" w:lineRule="auto"/>
        <w:jc w:val="right"/>
        <w:rPr>
          <w:rFonts w:ascii="Times New Roman" w:hAnsi="Times New Roman" w:cs="Times New Roman"/>
        </w:rPr>
      </w:pPr>
      <w:r w:rsidRPr="006E19BD">
        <w:rPr>
          <w:rFonts w:ascii="Times New Roman" w:hAnsi="Times New Roman" w:cs="Times New Roman"/>
          <w:b/>
        </w:rPr>
        <w:t>О.А.Кононенко</w:t>
      </w:r>
      <w:r w:rsidRPr="006E19BD">
        <w:rPr>
          <w:rFonts w:ascii="Times New Roman" w:hAnsi="Times New Roman" w:cs="Times New Roman"/>
        </w:rPr>
        <w:t>; старший викладач кафедри ділової іноземної мови</w:t>
      </w:r>
    </w:p>
    <w:p w:rsidR="0068056F" w:rsidRDefault="0068056F" w:rsidP="0068056F">
      <w:pPr>
        <w:spacing w:after="0" w:line="216" w:lineRule="auto"/>
        <w:ind w:left="283"/>
        <w:jc w:val="center"/>
        <w:rPr>
          <w:rFonts w:ascii="Times New Roman" w:hAnsi="Times New Roman" w:cs="Times New Roman"/>
        </w:rPr>
      </w:pPr>
    </w:p>
    <w:p w:rsidR="0068056F" w:rsidRPr="006E19BD" w:rsidRDefault="0068056F" w:rsidP="0068056F">
      <w:pPr>
        <w:spacing w:after="0" w:line="216" w:lineRule="auto"/>
        <w:ind w:left="283"/>
        <w:jc w:val="center"/>
        <w:rPr>
          <w:rFonts w:ascii="Times New Roman" w:hAnsi="Times New Roman" w:cs="Times New Roman"/>
          <w:b/>
        </w:rPr>
      </w:pPr>
      <w:r w:rsidRPr="006E19BD">
        <w:rPr>
          <w:rFonts w:ascii="Times New Roman" w:hAnsi="Times New Roman" w:cs="Times New Roman"/>
        </w:rPr>
        <w:t xml:space="preserve"> </w:t>
      </w:r>
      <w:r w:rsidRPr="006E19BD">
        <w:rPr>
          <w:rFonts w:ascii="Times New Roman" w:hAnsi="Times New Roman" w:cs="Times New Roman"/>
          <w:b/>
        </w:rPr>
        <w:t>Полтавський університет економіки і торгівлі</w:t>
      </w:r>
    </w:p>
    <w:p w:rsidR="006F2054" w:rsidRDefault="006F2054" w:rsidP="0068056F">
      <w:pPr>
        <w:spacing w:after="0" w:line="216" w:lineRule="auto"/>
        <w:ind w:left="283"/>
        <w:rPr>
          <w:rFonts w:ascii="Times New Roman" w:hAnsi="Times New Roman" w:cs="Times New Roman"/>
          <w:i/>
        </w:rPr>
      </w:pPr>
    </w:p>
    <w:p w:rsidR="004D57DB" w:rsidRDefault="00234F00" w:rsidP="0068056F">
      <w:pPr>
        <w:pStyle w:val="a4"/>
        <w:spacing w:beforeAutospacing="0" w:afterAutospacing="0"/>
        <w:ind w:left="283" w:firstLine="284"/>
        <w:jc w:val="both"/>
        <w:rPr>
          <w:sz w:val="22"/>
          <w:szCs w:val="22"/>
        </w:rPr>
      </w:pPr>
      <w:r>
        <w:rPr>
          <w:sz w:val="22"/>
          <w:szCs w:val="22"/>
        </w:rPr>
        <w:t>Information technologies currently set development trends across all industries. The IT sector is constantly growing and evolving, leading to job creation, automation of work processes, and changes in workforce requirements. Modern software and equipment enable companies to reduce production and management costs, increase staff productivity, and improve customer interaction. Contemporary research confirms that IT investments and digital tools can influence labor productivity both at the level of individual enterprises and the overall economy. Empirical studies indicate a significant contribution of information and communication technologies (ICT) to productivity growth in both developed and emerging market economies through improved efficiency of work processes, automation of operations, and enhanced access to digital resources for employees and managers.</w:t>
      </w:r>
    </w:p>
    <w:p w:rsidR="006F2054" w:rsidRDefault="00234F00" w:rsidP="0068056F">
      <w:pPr>
        <w:pStyle w:val="a4"/>
        <w:spacing w:beforeAutospacing="0" w:afterAutospacing="0"/>
        <w:ind w:left="283" w:firstLine="284"/>
        <w:jc w:val="both"/>
        <w:rPr>
          <w:sz w:val="22"/>
          <w:szCs w:val="22"/>
        </w:rPr>
      </w:pPr>
      <w:r>
        <w:rPr>
          <w:sz w:val="22"/>
          <w:szCs w:val="22"/>
        </w:rPr>
        <w:t>Measuring the relationship between digitalization and labor productivity at the macro level is based on comparing national accounts, labor market indicators, and ICT investment metrics. According to Eurostat, in 2024 labor productivity in the EU increased by 0.4% per hour worked and by 0.2% per employed person, which suggests a recovery in labor efficiency after weaker results in 2023. At the same time, cross-country variation remains significant: in 2024, the highest hourly productivity growth was recorded in Poland (+4.8%), Bulgaria (+3.9%), and Denmark (+2.9%), while negative dynamics were observed in Italy (–1.4%), Croatia (–1.2%), Romania (–1.1%), and Ireland (–0.9%)</w:t>
      </w:r>
      <w:r w:rsidR="00863C2F" w:rsidRPr="00863C2F">
        <w:rPr>
          <w:sz w:val="22"/>
          <w:szCs w:val="22"/>
        </w:rPr>
        <w:t xml:space="preserve"> </w:t>
      </w:r>
      <w:r w:rsidR="00863C2F">
        <w:rPr>
          <w:sz w:val="22"/>
          <w:szCs w:val="22"/>
        </w:rPr>
        <w:t>[2]</w:t>
      </w:r>
      <w:r>
        <w:rPr>
          <w:sz w:val="22"/>
          <w:szCs w:val="22"/>
        </w:rPr>
        <w:t>.</w:t>
      </w:r>
    </w:p>
    <w:p w:rsidR="004D57DB" w:rsidRDefault="00234F00" w:rsidP="0068056F">
      <w:pPr>
        <w:pStyle w:val="a4"/>
        <w:spacing w:beforeAutospacing="0" w:afterAutospacing="0"/>
        <w:ind w:left="283" w:firstLine="284"/>
        <w:jc w:val="both"/>
        <w:rPr>
          <w:sz w:val="22"/>
          <w:szCs w:val="22"/>
        </w:rPr>
      </w:pPr>
      <w:r>
        <w:rPr>
          <w:sz w:val="22"/>
          <w:szCs w:val="22"/>
        </w:rPr>
        <w:t xml:space="preserve">From the perspective of the investment component of digitalization, OECD data are relevant, as they analyze capital formation and the contribution of ICT assets to productivity changes. The investment section of the OECD Compendium of Productivity Indicators 2025 notes that in 2023 more than half of OECD countries experienced a </w:t>
      </w:r>
      <w:r>
        <w:rPr>
          <w:sz w:val="22"/>
          <w:szCs w:val="22"/>
        </w:rPr>
        <w:lastRenderedPageBreak/>
        <w:t>decline in ICT investment intensity, with the largest decreases observed in Mexico and New Zealand, and the highest increases in the Slovak Republic and the Czech Republic. An additional empirical reference is the OECD estimate that the ICT sector in 27 OECD countries grew on average by 6.3% annually in 2013–2023, outpacing overall economic growth and reinforcing the argument about the structural impact of the digital economy on productivity indicators in the short and medium term.</w:t>
      </w:r>
    </w:p>
    <w:p w:rsidR="004D57DB" w:rsidRDefault="00234F00" w:rsidP="0068056F">
      <w:pPr>
        <w:pStyle w:val="a4"/>
        <w:spacing w:beforeAutospacing="0" w:afterAutospacing="0"/>
        <w:ind w:left="283" w:firstLine="284"/>
        <w:jc w:val="both"/>
        <w:rPr>
          <w:sz w:val="22"/>
          <w:szCs w:val="22"/>
        </w:rPr>
      </w:pPr>
      <w:r>
        <w:rPr>
          <w:sz w:val="22"/>
          <w:szCs w:val="22"/>
        </w:rPr>
        <w:t>74% of EU enterprises achieved at least a basic level of digital intensity, while among SMEs this figure reached 73%, compared to 59% of all enterprises and 58% of SMEs in 2023. This represents an increase of 15 percentage points within one year for both groups. This provides an empirical basis for comparing “before–after” KPIs following the implementation of ERP/CRM systems, RPA, cloud services, and data analytics, as baseline digital readiness correlates with the ability to standardize processes, digitize data flows, and monitor operational quality through unified accounting systems.</w:t>
      </w:r>
    </w:p>
    <w:p w:rsidR="004D57DB" w:rsidRDefault="00234F00" w:rsidP="0068056F">
      <w:pPr>
        <w:pStyle w:val="a4"/>
        <w:spacing w:beforeAutospacing="0" w:afterAutospacing="0"/>
        <w:ind w:left="283" w:firstLine="284"/>
        <w:jc w:val="both"/>
        <w:rPr>
          <w:sz w:val="22"/>
          <w:szCs w:val="22"/>
        </w:rPr>
      </w:pPr>
      <w:r>
        <w:rPr>
          <w:sz w:val="22"/>
          <w:szCs w:val="22"/>
        </w:rPr>
        <w:t>At the enterprise level, measurement is typically carried out through the duration of operational cycles (order-to-delivery, order processing), the share of errors in documents and orders, productivity per employee (output, closed requests, processed pallets), as well as transaction costs for data processing and coordination between departments</w:t>
      </w:r>
      <w:r w:rsidR="00863C2F">
        <w:rPr>
          <w:sz w:val="22"/>
          <w:szCs w:val="22"/>
        </w:rPr>
        <w:t xml:space="preserve"> [4, c.17]</w:t>
      </w:r>
      <w:r>
        <w:rPr>
          <w:sz w:val="22"/>
          <w:szCs w:val="22"/>
        </w:rPr>
        <w:t>.</w:t>
      </w:r>
    </w:p>
    <w:p w:rsidR="00AA4154" w:rsidRDefault="00234F00" w:rsidP="0068056F">
      <w:pPr>
        <w:pStyle w:val="a4"/>
        <w:spacing w:beforeAutospacing="0" w:afterAutospacing="0"/>
        <w:ind w:left="283" w:firstLine="284"/>
        <w:jc w:val="both"/>
        <w:rPr>
          <w:sz w:val="22"/>
          <w:szCs w:val="22"/>
        </w:rPr>
      </w:pPr>
      <w:r>
        <w:rPr>
          <w:sz w:val="22"/>
          <w:szCs w:val="22"/>
        </w:rPr>
        <w:t>In manufacturing and distribution, ERP systems most often generate effects by reducing order processing time and increasing accuracy. In logistics and back-office operations, RPA is used to automate repetitive tasks (data reconciliation, document processing, inventory procedures), which is associated in research with reduced human error risk and faster order handling. Cloud services and data analytics are often assessed through reduced operational costs of data maintenance and accelerated managerial decision-making. For example, in a case of migrating a retailer’s analytical system to a cloud-based ELT platform, a 40–55% reduction in data operations costs and a transition to near real-time POS analytics with updates every 5–15 minutes were reported.</w:t>
      </w:r>
    </w:p>
    <w:p w:rsidR="00AA4154" w:rsidRDefault="00234F00" w:rsidP="0068056F">
      <w:pPr>
        <w:pStyle w:val="a4"/>
        <w:spacing w:beforeAutospacing="0" w:afterAutospacing="0"/>
        <w:ind w:left="283" w:firstLine="284"/>
        <w:jc w:val="both"/>
        <w:rPr>
          <w:sz w:val="22"/>
          <w:szCs w:val="22"/>
        </w:rPr>
      </w:pPr>
      <w:r>
        <w:rPr>
          <w:sz w:val="22"/>
          <w:szCs w:val="22"/>
        </w:rPr>
        <w:t xml:space="preserve">According to a McKinsey report based on a 2024 global survey, 65% of respondents reported regular use of generative AI in their organizations—almost twice as many as in a similar survey conducted approximately ten months earlier. A McKinsey publication dated November 5, 2025, states that 88% of respondents reported regular use of AI in at least one business function, compared to 78% a year earlier, reflecting the rapid adoption of these technologies in daily operations. At the level of long-term macroeconomic effects, McKinsey estimated </w:t>
      </w:r>
      <w:r>
        <w:rPr>
          <w:sz w:val="22"/>
          <w:szCs w:val="22"/>
        </w:rPr>
        <w:lastRenderedPageBreak/>
        <w:t>in July 2023 that generative AI could increase annual labor productivity growth by 0.1–0.6% until 2040, provided that freed-up time is reallocated to other activities. This directly links improvements in customer support, marketing, document management, and software development with aggregate economic performance</w:t>
      </w:r>
      <w:r w:rsidR="00863C2F">
        <w:rPr>
          <w:sz w:val="22"/>
          <w:szCs w:val="22"/>
        </w:rPr>
        <w:t xml:space="preserve"> [3]</w:t>
      </w:r>
      <w:r>
        <w:rPr>
          <w:sz w:val="22"/>
          <w:szCs w:val="22"/>
        </w:rPr>
        <w:t>.</w:t>
      </w:r>
    </w:p>
    <w:p w:rsidR="00AA4154" w:rsidRDefault="00234F00" w:rsidP="0068056F">
      <w:pPr>
        <w:pStyle w:val="a4"/>
        <w:spacing w:beforeAutospacing="0" w:afterAutospacing="0"/>
        <w:ind w:left="283" w:firstLine="284"/>
        <w:jc w:val="both"/>
        <w:rPr>
          <w:sz w:val="22"/>
          <w:szCs w:val="22"/>
        </w:rPr>
      </w:pPr>
      <w:r>
        <w:rPr>
          <w:sz w:val="22"/>
          <w:szCs w:val="22"/>
        </w:rPr>
        <w:t>Certain academic sources indicate progress in the digitalization of the economy, with an average digital transformation index of 0.497 out of a maximum of 1, highlighting the need for further implementation of digital solutions to improve the efficiency of enterprises and public institutions. The importance of this process is further confirmed by estimates of the growing share of the IT sector, which accounted for 3.4% of Ukraine’s GDP in 2024 and remained stable during wartime. This contributed not only to export-oriented growth but also to the creation of new high-productivity jobs driven by employees’ digital competencies. For instance, the Diia platform introduced online marriage registration in 2024, with over 1.1 million users utilizing the service in its first month, demonstrating how digital services can significantly transform interactions between citizens and the state</w:t>
      </w:r>
      <w:r w:rsidR="00863C2F">
        <w:rPr>
          <w:sz w:val="22"/>
          <w:szCs w:val="22"/>
        </w:rPr>
        <w:t xml:space="preserve"> [1]</w:t>
      </w:r>
      <w:r>
        <w:rPr>
          <w:sz w:val="22"/>
          <w:szCs w:val="22"/>
        </w:rPr>
        <w:t>.</w:t>
      </w:r>
    </w:p>
    <w:p w:rsidR="006F2054" w:rsidRDefault="00234F00" w:rsidP="0068056F">
      <w:pPr>
        <w:pStyle w:val="a4"/>
        <w:spacing w:beforeAutospacing="0" w:afterAutospacing="0"/>
        <w:ind w:left="283" w:firstLine="284"/>
        <w:jc w:val="both"/>
        <w:rPr>
          <w:sz w:val="22"/>
          <w:szCs w:val="22"/>
        </w:rPr>
      </w:pPr>
      <w:r>
        <w:rPr>
          <w:sz w:val="22"/>
          <w:szCs w:val="22"/>
        </w:rPr>
        <w:t>Data from Eurostat and OECD indicate that labor productivity growth in EU and OECD countries in 2023–2024 occurred alongside the accumulation of digital capital, increased use of ICT assets, and higher digital intensity in business. At the enterprise level, the effects are more direct and measurable. The implementation of ERP, CRM, RPA, cloud services, and data analytics is associated with shorter operational cycles, reduced error rates, increased output per employee, and optimized transaction costs. The use of artificial intelligence and generative AI further strengthens these trends, providing significant productivity gains in functions with a high share of intellectual labor.</w:t>
      </w:r>
    </w:p>
    <w:p w:rsidR="006F2054" w:rsidRDefault="006F2054" w:rsidP="0068056F">
      <w:pPr>
        <w:spacing w:line="18" w:lineRule="atLeast"/>
        <w:ind w:left="283" w:firstLine="284"/>
        <w:jc w:val="both"/>
        <w:rPr>
          <w:rFonts w:ascii="Times New Roman" w:hAnsi="Times New Roman" w:cs="Times New Roman"/>
        </w:rPr>
      </w:pPr>
    </w:p>
    <w:p w:rsidR="006F2054" w:rsidRDefault="00234F00" w:rsidP="00DB76B1">
      <w:pPr>
        <w:spacing w:line="18" w:lineRule="atLeast"/>
        <w:ind w:firstLine="284"/>
        <w:jc w:val="center"/>
        <w:rPr>
          <w:rFonts w:ascii="Times New Roman" w:hAnsi="Times New Roman" w:cs="Times New Roman"/>
          <w:b/>
          <w:bCs/>
        </w:rPr>
      </w:pPr>
      <w:bookmarkStart w:id="0" w:name="_GoBack"/>
      <w:bookmarkEnd w:id="0"/>
      <w:r>
        <w:rPr>
          <w:rFonts w:ascii="Times New Roman" w:hAnsi="Times New Roman" w:cs="Times New Roman"/>
          <w:b/>
          <w:bCs/>
        </w:rPr>
        <w:t>Список використаних</w:t>
      </w:r>
      <w:r w:rsidR="0068056F">
        <w:rPr>
          <w:rFonts w:ascii="Times New Roman" w:hAnsi="Times New Roman" w:cs="Times New Roman"/>
          <w:b/>
          <w:bCs/>
        </w:rPr>
        <w:t xml:space="preserve"> інформаційних</w:t>
      </w:r>
      <w:r>
        <w:rPr>
          <w:rFonts w:ascii="Times New Roman" w:hAnsi="Times New Roman" w:cs="Times New Roman"/>
          <w:b/>
          <w:bCs/>
        </w:rPr>
        <w:t xml:space="preserve"> джерел</w:t>
      </w:r>
    </w:p>
    <w:p w:rsidR="006F2054" w:rsidRDefault="00234F00">
      <w:pPr>
        <w:pStyle w:val="a6"/>
        <w:numPr>
          <w:ilvl w:val="0"/>
          <w:numId w:val="1"/>
        </w:numPr>
        <w:spacing w:line="18" w:lineRule="atLeast"/>
        <w:ind w:left="0" w:firstLine="284"/>
        <w:jc w:val="both"/>
        <w:rPr>
          <w:rFonts w:ascii="Times New Roman" w:hAnsi="Times New Roman" w:cs="Times New Roman"/>
        </w:rPr>
      </w:pPr>
      <w:r>
        <w:rPr>
          <w:rFonts w:ascii="Times New Roman" w:hAnsi="Times New Roman" w:cs="Times New Roman"/>
        </w:rPr>
        <w:t xml:space="preserve">Cherep A., Dashko I., Ohrenych Y. Digital Transformation Index of Ukraine for 2024 (Index of Digitalisation, 2024) [Електронний ресурс] – ResearchGate. – Strategic vectors of digitalisation of the Ukrainian economy based on the formation of an open information society (стаття, Nov 2025) – Режим доступу: </w:t>
      </w:r>
      <w:hyperlink r:id="rId8" w:history="1">
        <w:r>
          <w:rPr>
            <w:rStyle w:val="a3"/>
            <w:rFonts w:ascii="Times New Roman" w:hAnsi="Times New Roman" w:cs="Times New Roman"/>
          </w:rPr>
          <w:t>https://www.researchgate.net/figure/Digital-Transformation-Index-of-Ukraine-for-2024-Index-of-Digitalisation-2024_tbl2_397845672</w:t>
        </w:r>
      </w:hyperlink>
      <w:r>
        <w:rPr>
          <w:rFonts w:ascii="Times New Roman" w:hAnsi="Times New Roman" w:cs="Times New Roman"/>
        </w:rPr>
        <w:t xml:space="preserve"> (дата звернення: 10.03.2026).</w:t>
      </w:r>
    </w:p>
    <w:p w:rsidR="006F2054" w:rsidRDefault="00234F00">
      <w:pPr>
        <w:pStyle w:val="a6"/>
        <w:numPr>
          <w:ilvl w:val="0"/>
          <w:numId w:val="1"/>
        </w:numPr>
        <w:spacing w:line="18" w:lineRule="atLeast"/>
        <w:ind w:left="0" w:firstLine="284"/>
        <w:jc w:val="both"/>
        <w:rPr>
          <w:rFonts w:ascii="Times New Roman" w:hAnsi="Times New Roman" w:cs="Times New Roman"/>
        </w:rPr>
      </w:pPr>
      <w:r>
        <w:rPr>
          <w:rFonts w:ascii="Times New Roman" w:hAnsi="Times New Roman" w:cs="Times New Roman"/>
        </w:rPr>
        <w:lastRenderedPageBreak/>
        <w:t xml:space="preserve">Eurostat. Productivity trends using key national accounts indicators [Електронний ресурс] – Statistics Explained, European Commission. – Режим доступу: </w:t>
      </w:r>
      <w:hyperlink r:id="rId9" w:history="1">
        <w:r>
          <w:rPr>
            <w:rStyle w:val="a3"/>
            <w:rFonts w:ascii="Times New Roman" w:hAnsi="Times New Roman" w:cs="Times New Roman"/>
          </w:rPr>
          <w:t>https://ec.europa.eu/eurostat/statistics-explained/index.php?title=Productivity_trends_using_key_national_accounts_indicators</w:t>
        </w:r>
      </w:hyperlink>
      <w:r>
        <w:rPr>
          <w:rFonts w:ascii="Times New Roman" w:hAnsi="Times New Roman" w:cs="Times New Roman"/>
        </w:rPr>
        <w:t xml:space="preserve"> (дата звернення: 10.03.2026).</w:t>
      </w:r>
    </w:p>
    <w:p w:rsidR="006F2054" w:rsidRDefault="00234F00">
      <w:pPr>
        <w:pStyle w:val="a6"/>
        <w:numPr>
          <w:ilvl w:val="0"/>
          <w:numId w:val="1"/>
        </w:numPr>
        <w:spacing w:line="18" w:lineRule="atLeast"/>
        <w:ind w:left="0" w:firstLine="284"/>
        <w:jc w:val="both"/>
        <w:rPr>
          <w:rFonts w:ascii="Times New Roman" w:hAnsi="Times New Roman" w:cs="Times New Roman"/>
        </w:rPr>
      </w:pPr>
      <w:r>
        <w:rPr>
          <w:rFonts w:ascii="Times New Roman" w:hAnsi="Times New Roman" w:cs="Times New Roman"/>
        </w:rPr>
        <w:t xml:space="preserve">McKinsey &amp; Company. The economic potential of generative AI: The next productivity frontier [Електронний ресурс] – McKinsey &amp; Company. – Режим доступу: </w:t>
      </w:r>
      <w:hyperlink r:id="rId10" w:history="1">
        <w:r>
          <w:rPr>
            <w:rStyle w:val="a3"/>
            <w:rFonts w:ascii="Times New Roman" w:hAnsi="Times New Roman" w:cs="Times New Roman"/>
          </w:rPr>
          <w:t>https://www.mckinsey.com/capabilities/tech-and-ai/our-insights/the-economic-potential-of-generative-ai-the-next-productivity-frontier?utm_source</w:t>
        </w:r>
      </w:hyperlink>
      <w:r>
        <w:rPr>
          <w:rFonts w:ascii="Times New Roman" w:hAnsi="Times New Roman" w:cs="Times New Roman"/>
        </w:rPr>
        <w:t xml:space="preserve"> (дата звернення: 11.03.2026).</w:t>
      </w:r>
    </w:p>
    <w:p w:rsidR="006F2054" w:rsidRDefault="00234F00">
      <w:pPr>
        <w:pStyle w:val="a6"/>
        <w:numPr>
          <w:ilvl w:val="0"/>
          <w:numId w:val="1"/>
        </w:numPr>
        <w:spacing w:line="18" w:lineRule="atLeast"/>
        <w:ind w:left="0" w:firstLine="284"/>
        <w:jc w:val="both"/>
        <w:rPr>
          <w:rFonts w:ascii="Times New Roman" w:hAnsi="Times New Roman" w:cs="Times New Roman"/>
        </w:rPr>
      </w:pPr>
      <w:r>
        <w:rPr>
          <w:rFonts w:ascii="Times New Roman" w:hAnsi="Times New Roman" w:cs="Times New Roman"/>
        </w:rPr>
        <w:t xml:space="preserve">Pulluru S. R. Transforming Manufacturing Supply Chains Through ERP Implementation: A Case Study in Digital Excellence [Електронний ресурс] – European Journal of Computer Science and Information Technology, Vol. 13, № 37, 2025, </w:t>
      </w:r>
      <w:r>
        <w:rPr>
          <w:rFonts w:ascii="Times New Roman" w:hAnsi="Times New Roman" w:cs="Times New Roman"/>
          <w:lang w:val="en-US"/>
        </w:rPr>
        <w:t>P</w:t>
      </w:r>
      <w:r>
        <w:rPr>
          <w:rFonts w:ascii="Times New Roman" w:hAnsi="Times New Roman" w:cs="Times New Roman"/>
        </w:rPr>
        <w:t>. 11</w:t>
      </w:r>
      <w:r>
        <w:rPr>
          <w:rFonts w:ascii="Times New Roman" w:hAnsi="Times New Roman" w:cs="Times New Roman"/>
          <w:lang w:val="en-US"/>
        </w:rPr>
        <w:t>–</w:t>
      </w:r>
      <w:r>
        <w:rPr>
          <w:rFonts w:ascii="Times New Roman" w:hAnsi="Times New Roman" w:cs="Times New Roman"/>
        </w:rPr>
        <w:t>24.</w:t>
      </w:r>
    </w:p>
    <w:p w:rsidR="006F2054" w:rsidRDefault="006F2054">
      <w:pPr>
        <w:pStyle w:val="a6"/>
        <w:spacing w:line="216" w:lineRule="auto"/>
        <w:ind w:left="644"/>
        <w:jc w:val="both"/>
        <w:rPr>
          <w:rFonts w:ascii="Times New Roman" w:hAnsi="Times New Roman" w:cs="Times New Roman"/>
        </w:rPr>
      </w:pPr>
    </w:p>
    <w:sectPr w:rsidR="006F2054" w:rsidSect="0068056F">
      <w:pgSz w:w="8392" w:h="11907"/>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DF7" w:rsidRDefault="00435DF7">
      <w:pPr>
        <w:spacing w:line="240" w:lineRule="auto"/>
      </w:pPr>
      <w:r>
        <w:separator/>
      </w:r>
    </w:p>
  </w:endnote>
  <w:endnote w:type="continuationSeparator" w:id="0">
    <w:p w:rsidR="00435DF7" w:rsidRDefault="00435D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DF7" w:rsidRDefault="00435DF7">
      <w:pPr>
        <w:spacing w:after="0"/>
      </w:pPr>
      <w:r>
        <w:separator/>
      </w:r>
    </w:p>
  </w:footnote>
  <w:footnote w:type="continuationSeparator" w:id="0">
    <w:p w:rsidR="00435DF7" w:rsidRDefault="00435DF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3132B"/>
    <w:multiLevelType w:val="multilevel"/>
    <w:tmpl w:val="0D33132B"/>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120"/>
    <w:rsid w:val="000E77A8"/>
    <w:rsid w:val="001A625D"/>
    <w:rsid w:val="00201543"/>
    <w:rsid w:val="00234F00"/>
    <w:rsid w:val="003B72B3"/>
    <w:rsid w:val="00435DF7"/>
    <w:rsid w:val="00436EF6"/>
    <w:rsid w:val="004A5120"/>
    <w:rsid w:val="004C159E"/>
    <w:rsid w:val="004D57DB"/>
    <w:rsid w:val="004E4DF7"/>
    <w:rsid w:val="00583273"/>
    <w:rsid w:val="005E62FB"/>
    <w:rsid w:val="0068056F"/>
    <w:rsid w:val="006F2054"/>
    <w:rsid w:val="007006C6"/>
    <w:rsid w:val="007E6D6E"/>
    <w:rsid w:val="00863C2F"/>
    <w:rsid w:val="00883C1E"/>
    <w:rsid w:val="00993298"/>
    <w:rsid w:val="00A75D2A"/>
    <w:rsid w:val="00AA4154"/>
    <w:rsid w:val="00AF506A"/>
    <w:rsid w:val="00B8247B"/>
    <w:rsid w:val="00B94C08"/>
    <w:rsid w:val="00C411C8"/>
    <w:rsid w:val="00C928C6"/>
    <w:rsid w:val="00DB76B1"/>
    <w:rsid w:val="00EF6112"/>
    <w:rsid w:val="018B6894"/>
    <w:rsid w:val="019B6B2F"/>
    <w:rsid w:val="01AC0837"/>
    <w:rsid w:val="038B3DDC"/>
    <w:rsid w:val="04E1218F"/>
    <w:rsid w:val="05ED35C6"/>
    <w:rsid w:val="07FD0DA7"/>
    <w:rsid w:val="09352129"/>
    <w:rsid w:val="093A65B1"/>
    <w:rsid w:val="097912F1"/>
    <w:rsid w:val="09FD62EE"/>
    <w:rsid w:val="0A220AAD"/>
    <w:rsid w:val="0BCE3FEB"/>
    <w:rsid w:val="0D273323"/>
    <w:rsid w:val="0F4D2CA8"/>
    <w:rsid w:val="116A55A1"/>
    <w:rsid w:val="11B5691A"/>
    <w:rsid w:val="13BD6CEF"/>
    <w:rsid w:val="143D286B"/>
    <w:rsid w:val="152231AE"/>
    <w:rsid w:val="16460917"/>
    <w:rsid w:val="17FD6AF1"/>
    <w:rsid w:val="18C72F35"/>
    <w:rsid w:val="1C5A0892"/>
    <w:rsid w:val="1F856628"/>
    <w:rsid w:val="1FB52CD8"/>
    <w:rsid w:val="2031597D"/>
    <w:rsid w:val="20C03FCA"/>
    <w:rsid w:val="21035D38"/>
    <w:rsid w:val="238C7960"/>
    <w:rsid w:val="25C85DF2"/>
    <w:rsid w:val="28DC4362"/>
    <w:rsid w:val="291B56E0"/>
    <w:rsid w:val="2C2417F8"/>
    <w:rsid w:val="305D69EA"/>
    <w:rsid w:val="30642AF1"/>
    <w:rsid w:val="30665FF5"/>
    <w:rsid w:val="308568A9"/>
    <w:rsid w:val="32C37971"/>
    <w:rsid w:val="331423DB"/>
    <w:rsid w:val="33B679E6"/>
    <w:rsid w:val="34C907A7"/>
    <w:rsid w:val="34D039B6"/>
    <w:rsid w:val="38A212F5"/>
    <w:rsid w:val="3AAE448B"/>
    <w:rsid w:val="3D910C10"/>
    <w:rsid w:val="42461EC8"/>
    <w:rsid w:val="4623311D"/>
    <w:rsid w:val="47C34DC8"/>
    <w:rsid w:val="4BD17E71"/>
    <w:rsid w:val="4D0D1DF7"/>
    <w:rsid w:val="4F1D75D8"/>
    <w:rsid w:val="4F956FC5"/>
    <w:rsid w:val="51AA31A9"/>
    <w:rsid w:val="51E46AE7"/>
    <w:rsid w:val="559304F1"/>
    <w:rsid w:val="56E808B0"/>
    <w:rsid w:val="57121C67"/>
    <w:rsid w:val="5735569F"/>
    <w:rsid w:val="57925A39"/>
    <w:rsid w:val="58450D5F"/>
    <w:rsid w:val="5B14567A"/>
    <w:rsid w:val="601E603C"/>
    <w:rsid w:val="6185598F"/>
    <w:rsid w:val="63084806"/>
    <w:rsid w:val="63F06D02"/>
    <w:rsid w:val="65472B37"/>
    <w:rsid w:val="658A4BE0"/>
    <w:rsid w:val="66D171A5"/>
    <w:rsid w:val="67D740EA"/>
    <w:rsid w:val="67F07E05"/>
    <w:rsid w:val="68220CE6"/>
    <w:rsid w:val="685314B5"/>
    <w:rsid w:val="691E1E82"/>
    <w:rsid w:val="6A5545E3"/>
    <w:rsid w:val="6B51691F"/>
    <w:rsid w:val="6D1F61C4"/>
    <w:rsid w:val="6DC722E1"/>
    <w:rsid w:val="6E7E72F3"/>
    <w:rsid w:val="721E4B26"/>
    <w:rsid w:val="73B02BDC"/>
    <w:rsid w:val="73C95D04"/>
    <w:rsid w:val="79B0339F"/>
    <w:rsid w:val="7A993E33"/>
    <w:rsid w:val="7B5F4AF6"/>
    <w:rsid w:val="7D0351A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1680"/>
  <w15:docId w15:val="{D91CFEC8-21E6-45AE-9FA1-886015A3A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val="uk-UA"/>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Normal (Web)"/>
    <w:qFormat/>
    <w:pPr>
      <w:spacing w:beforeAutospacing="1" w:afterAutospacing="1"/>
    </w:pPr>
    <w:rPr>
      <w:sz w:val="24"/>
      <w:szCs w:val="24"/>
      <w:lang w:eastAsia="zh-CN"/>
    </w:rPr>
  </w:style>
  <w:style w:type="character" w:styleId="a5">
    <w:name w:val="Strong"/>
    <w:basedOn w:val="a0"/>
    <w:uiPriority w:val="22"/>
    <w:qFormat/>
    <w:rPr>
      <w:b/>
      <w:bCs/>
    </w:rPr>
  </w:style>
  <w:style w:type="character" w:customStyle="1" w:styleId="10">
    <w:name w:val="Заголовок 1 Знак"/>
    <w:basedOn w:val="a0"/>
    <w:link w:val="1"/>
    <w:uiPriority w:val="9"/>
    <w:qFormat/>
    <w:rPr>
      <w:rFonts w:ascii="Times New Roman" w:eastAsia="Times New Roman" w:hAnsi="Times New Roman" w:cs="Times New Roman"/>
      <w:b/>
      <w:bCs/>
      <w:kern w:val="36"/>
      <w:sz w:val="48"/>
      <w:szCs w:val="48"/>
      <w:lang w:eastAsia="uk-UA"/>
    </w:rPr>
  </w:style>
  <w:style w:type="paragraph" w:styleId="a6">
    <w:name w:val="List Paragraph"/>
    <w:basedOn w:val="a"/>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1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figure/Digital-Transformation-Index-of-Ukraine-for-2024-Index-of-Digitalisation-2024_tbl2_3978456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ckinsey.com/capabilities/tech-and-ai/our-insights/the-economic-potential-of-generative-ai-the-next-productivity-frontier?utm_source" TargetMode="External"/><Relationship Id="rId4" Type="http://schemas.openxmlformats.org/officeDocument/2006/relationships/settings" Target="settings.xml"/><Relationship Id="rId9" Type="http://schemas.openxmlformats.org/officeDocument/2006/relationships/hyperlink" Target="https://ec.europa.eu/eurostat/statistics-explained/index.php?title=Productivity_trends_using_key_national_accounts_indicators"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511DA-F314-4EF7-93EA-B0D496F3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1305</Words>
  <Characters>7443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Алена</cp:lastModifiedBy>
  <cp:revision>11</cp:revision>
  <dcterms:created xsi:type="dcterms:W3CDTF">2025-10-22T05:08:00Z</dcterms:created>
  <dcterms:modified xsi:type="dcterms:W3CDTF">2026-04-09T17:48:00Z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29CC3FFFB3A746DAB11C3E3FC3A7EE52_12</vt:lpwstr>
  </property>
  <property fmtid="{D5CDD505-2E9C-101B-9397-08002B2CF9AE}" pid="4" name="KSOTemplateDocerSaveRecord">
    <vt:lpwstr>eyJoZGlkIjoiYjVmZDRhMDRkMzg0MmJlOTk4NzA3OTRlNGI4MGU0MzUiLCJ1c2VySWQiOiIzMDQxMTk3OTE4NDM3In0=</vt:lpwstr>
  </property>
</Properties>
</file>